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9914" w14:textId="77777777" w:rsidR="003E13DD" w:rsidRPr="00360639" w:rsidRDefault="003E13DD" w:rsidP="00360639">
      <w:pPr>
        <w:pStyle w:val="Titolo4"/>
        <w:spacing w:before="0" w:after="0" w:line="360" w:lineRule="auto"/>
        <w:rPr>
          <w:rFonts w:ascii="Bookman Old Style" w:hAnsi="Bookman Old Style"/>
        </w:rPr>
      </w:pPr>
    </w:p>
    <w:p w14:paraId="26FE7B5F" w14:textId="77777777" w:rsidR="003E13DD" w:rsidRPr="00360639" w:rsidRDefault="003E13DD" w:rsidP="00360639">
      <w:pPr>
        <w:pStyle w:val="Titolo4"/>
        <w:spacing w:before="0" w:after="0" w:line="360" w:lineRule="auto"/>
        <w:rPr>
          <w:rFonts w:ascii="Bookman Old Style" w:hAnsi="Bookman Old Style"/>
        </w:rPr>
      </w:pPr>
    </w:p>
    <w:p w14:paraId="3A2F5DC2" w14:textId="7DF61D32" w:rsidR="003E13DD" w:rsidRPr="00360639" w:rsidRDefault="003E13DD" w:rsidP="00360639">
      <w:pPr>
        <w:pStyle w:val="Titolo4"/>
        <w:spacing w:before="0" w:after="0" w:line="360" w:lineRule="auto"/>
        <w:rPr>
          <w:rFonts w:ascii="Bookman Old Style" w:hAnsi="Bookman Old Style"/>
        </w:rPr>
      </w:pPr>
      <w:r w:rsidRPr="00360639">
        <w:rPr>
          <w:rFonts w:ascii="Bookman Old Style" w:hAnsi="Bookman Old Style"/>
          <w:noProof/>
          <w:lang w:eastAsia="it-IT"/>
        </w:rPr>
        <w:drawing>
          <wp:inline distT="0" distB="0" distL="0" distR="0" wp14:anchorId="65CB04BE" wp14:editId="3881D759">
            <wp:extent cx="619125" cy="923925"/>
            <wp:effectExtent l="0" t="0" r="9525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C6B5" w14:textId="682F4181" w:rsidR="003E13DD" w:rsidRPr="00360639" w:rsidRDefault="003E13DD" w:rsidP="00360639">
      <w:pPr>
        <w:pStyle w:val="Titolo4"/>
        <w:spacing w:before="0" w:after="0" w:line="360" w:lineRule="auto"/>
        <w:rPr>
          <w:rFonts w:ascii="Bookman Old Style" w:hAnsi="Bookman Old Style"/>
        </w:rPr>
      </w:pPr>
    </w:p>
    <w:p w14:paraId="77F0D956" w14:textId="0720937B" w:rsidR="003E13DD" w:rsidRPr="00704B3F" w:rsidRDefault="003E13DD" w:rsidP="00360639">
      <w:pPr>
        <w:spacing w:line="360" w:lineRule="auto"/>
        <w:jc w:val="center"/>
        <w:rPr>
          <w:rFonts w:ascii="Bookman Old Style" w:hAnsi="Bookman Old Style"/>
          <w:b/>
          <w:bCs/>
          <w:color w:val="002060"/>
        </w:rPr>
      </w:pPr>
      <w:r w:rsidRPr="00704B3F">
        <w:rPr>
          <w:rFonts w:ascii="Bookman Old Style" w:hAnsi="Bookman Old Style"/>
          <w:b/>
          <w:bCs/>
          <w:color w:val="002060"/>
        </w:rPr>
        <w:t>D.L. AIUTI QUATER</w:t>
      </w:r>
    </w:p>
    <w:p w14:paraId="07C68065" w14:textId="65386AB2" w:rsidR="003E13DD" w:rsidRPr="00360639" w:rsidRDefault="003E13DD" w:rsidP="00360639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14:paraId="40621DDC" w14:textId="196A758D" w:rsidR="003E13DD" w:rsidRPr="00704B3F" w:rsidRDefault="003E13DD" w:rsidP="00704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bCs/>
          <w:color w:val="002060"/>
        </w:rPr>
      </w:pPr>
      <w:r w:rsidRPr="00704B3F">
        <w:rPr>
          <w:rFonts w:ascii="Bookman Old Style" w:hAnsi="Bookman Old Style"/>
          <w:b/>
          <w:bCs/>
          <w:color w:val="002060"/>
        </w:rPr>
        <w:t>Nota</w:t>
      </w:r>
      <w:r w:rsidR="00704B3F" w:rsidRPr="00704B3F">
        <w:rPr>
          <w:rFonts w:ascii="Bookman Old Style" w:hAnsi="Bookman Old Style"/>
          <w:b/>
          <w:bCs/>
          <w:color w:val="002060"/>
        </w:rPr>
        <w:t xml:space="preserve"> </w:t>
      </w:r>
      <w:r w:rsidRPr="00704B3F">
        <w:rPr>
          <w:rFonts w:ascii="Bookman Old Style" w:hAnsi="Bookman Old Style"/>
          <w:b/>
          <w:bCs/>
          <w:color w:val="002060"/>
        </w:rPr>
        <w:t xml:space="preserve">su </w:t>
      </w:r>
      <w:r w:rsidR="00704B3F" w:rsidRPr="00704B3F">
        <w:rPr>
          <w:rFonts w:ascii="Bookman Old Style" w:hAnsi="Bookman Old Style"/>
          <w:b/>
          <w:bCs/>
          <w:color w:val="002060"/>
        </w:rPr>
        <w:t xml:space="preserve">soglia per affidamenti diretti di servizi e forniture a valere su risorse </w:t>
      </w:r>
      <w:r w:rsidR="00C07704" w:rsidRPr="00704B3F">
        <w:rPr>
          <w:rFonts w:ascii="Bookman Old Style" w:hAnsi="Bookman Old Style"/>
          <w:b/>
          <w:bCs/>
          <w:color w:val="002060"/>
        </w:rPr>
        <w:t>PNRR e PNC</w:t>
      </w:r>
      <w:r w:rsidR="00704B3F" w:rsidRPr="00704B3F">
        <w:rPr>
          <w:rFonts w:ascii="Bookman Old Style" w:hAnsi="Bookman Old Style"/>
          <w:b/>
          <w:bCs/>
          <w:color w:val="002060"/>
        </w:rPr>
        <w:t xml:space="preserve"> per Comuni non capoluogo </w:t>
      </w:r>
    </w:p>
    <w:p w14:paraId="5954FD05" w14:textId="2C7B8D99" w:rsidR="003E13DD" w:rsidRPr="00360639" w:rsidRDefault="003E13DD" w:rsidP="00704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</w:rPr>
      </w:pPr>
    </w:p>
    <w:p w14:paraId="22250BFD" w14:textId="77777777" w:rsidR="00704B3F" w:rsidRDefault="00704B3F" w:rsidP="00A630DB">
      <w:pPr>
        <w:spacing w:line="360" w:lineRule="auto"/>
        <w:rPr>
          <w:rFonts w:ascii="Bookman Old Style" w:hAnsi="Bookman Old Style"/>
        </w:rPr>
      </w:pPr>
    </w:p>
    <w:p w14:paraId="6100A598" w14:textId="77777777" w:rsidR="00704B3F" w:rsidRDefault="00704B3F" w:rsidP="00A630DB">
      <w:pPr>
        <w:spacing w:line="360" w:lineRule="auto"/>
        <w:rPr>
          <w:rFonts w:ascii="Bookman Old Style" w:hAnsi="Bookman Old Style"/>
        </w:rPr>
      </w:pPr>
    </w:p>
    <w:p w14:paraId="37272FF3" w14:textId="0249B711" w:rsidR="00A630DB" w:rsidRDefault="003E13DD" w:rsidP="00A630DB">
      <w:pPr>
        <w:spacing w:line="360" w:lineRule="auto"/>
        <w:rPr>
          <w:rFonts w:ascii="Bookman Old Style" w:hAnsi="Bookman Old Style"/>
        </w:rPr>
      </w:pPr>
      <w:r w:rsidRPr="00360639">
        <w:rPr>
          <w:rFonts w:ascii="Bookman Old Style" w:hAnsi="Bookman Old Style"/>
        </w:rPr>
        <w:t xml:space="preserve">Il </w:t>
      </w:r>
      <w:proofErr w:type="gramStart"/>
      <w:r w:rsidRPr="00360639">
        <w:rPr>
          <w:rFonts w:ascii="Bookman Old Style" w:hAnsi="Bookman Old Style"/>
        </w:rPr>
        <w:t>Consiglio dei Ministri</w:t>
      </w:r>
      <w:proofErr w:type="gramEnd"/>
      <w:r w:rsidRPr="00360639">
        <w:rPr>
          <w:rFonts w:ascii="Bookman Old Style" w:hAnsi="Bookman Old Style"/>
        </w:rPr>
        <w:t xml:space="preserve"> il 10 novembre u.s. ha approvato il </w:t>
      </w:r>
      <w:r w:rsidRPr="00E35607">
        <w:rPr>
          <w:rFonts w:ascii="Bookman Old Style" w:hAnsi="Bookman Old Style"/>
        </w:rPr>
        <w:t xml:space="preserve">cd </w:t>
      </w:r>
      <w:r w:rsidRPr="00E35607">
        <w:rPr>
          <w:rFonts w:ascii="Bookman Old Style" w:hAnsi="Bookman Old Style"/>
          <w:i/>
          <w:iCs/>
        </w:rPr>
        <w:t>dl aiuti quater</w:t>
      </w:r>
      <w:r w:rsidR="00E35607">
        <w:rPr>
          <w:rFonts w:ascii="Bookman Old Style" w:hAnsi="Bookman Old Style"/>
        </w:rPr>
        <w:t xml:space="preserve"> </w:t>
      </w:r>
      <w:r w:rsidR="00B9081B">
        <w:rPr>
          <w:rFonts w:ascii="Bookman Old Style" w:hAnsi="Bookman Old Style"/>
        </w:rPr>
        <w:t xml:space="preserve">che deve essere ora pubblicato in </w:t>
      </w:r>
      <w:r w:rsidR="00FD2E22">
        <w:rPr>
          <w:rFonts w:ascii="Bookman Old Style" w:hAnsi="Bookman Old Style"/>
        </w:rPr>
        <w:t>Gazzetta</w:t>
      </w:r>
      <w:r w:rsidR="00B9081B">
        <w:rPr>
          <w:rFonts w:ascii="Bookman Old Style" w:hAnsi="Bookman Old Style"/>
        </w:rPr>
        <w:t xml:space="preserve"> Ufficiale</w:t>
      </w:r>
      <w:r w:rsidR="00E35607">
        <w:rPr>
          <w:rFonts w:ascii="Bookman Old Style" w:hAnsi="Bookman Old Style"/>
        </w:rPr>
        <w:t>. Si segnala che all’interno del provvedimento è contenut</w:t>
      </w:r>
      <w:r w:rsidR="001B6194">
        <w:rPr>
          <w:rFonts w:ascii="Bookman Old Style" w:hAnsi="Bookman Old Style"/>
        </w:rPr>
        <w:t>o l’art. 10</w:t>
      </w:r>
      <w:r w:rsidR="00E35607">
        <w:rPr>
          <w:rFonts w:ascii="Bookman Old Style" w:hAnsi="Bookman Old Style"/>
        </w:rPr>
        <w:t xml:space="preserve"> richiest</w:t>
      </w:r>
      <w:r w:rsidR="001B6194">
        <w:rPr>
          <w:rFonts w:ascii="Bookman Old Style" w:hAnsi="Bookman Old Style"/>
        </w:rPr>
        <w:t>o</w:t>
      </w:r>
      <w:r w:rsidR="00E35607">
        <w:rPr>
          <w:rFonts w:ascii="Bookman Old Style" w:hAnsi="Bookman Old Style"/>
        </w:rPr>
        <w:t xml:space="preserve"> dall’ANCI</w:t>
      </w:r>
      <w:r w:rsidRPr="00360639">
        <w:rPr>
          <w:rFonts w:ascii="Bookman Old Style" w:hAnsi="Bookman Old Style"/>
        </w:rPr>
        <w:t xml:space="preserve"> in materia di procedure di affidamento d</w:t>
      </w:r>
      <w:r w:rsidR="00704B3F">
        <w:rPr>
          <w:rFonts w:ascii="Bookman Old Style" w:hAnsi="Bookman Old Style"/>
        </w:rPr>
        <w:t xml:space="preserve">i </w:t>
      </w:r>
      <w:r w:rsidRPr="00360639">
        <w:rPr>
          <w:rFonts w:ascii="Bookman Old Style" w:hAnsi="Bookman Old Style"/>
        </w:rPr>
        <w:t>lavori</w:t>
      </w:r>
      <w:r w:rsidR="00704B3F">
        <w:rPr>
          <w:rFonts w:ascii="Bookman Old Style" w:hAnsi="Bookman Old Style"/>
        </w:rPr>
        <w:t>, servizi e forniture</w:t>
      </w:r>
      <w:r w:rsidR="00C90DDA">
        <w:rPr>
          <w:rFonts w:ascii="Bookman Old Style" w:hAnsi="Bookman Old Style"/>
        </w:rPr>
        <w:t xml:space="preserve">. Si riporta di seguito </w:t>
      </w:r>
      <w:r w:rsidR="00F82575">
        <w:rPr>
          <w:rFonts w:ascii="Bookman Old Style" w:hAnsi="Bookman Old Style"/>
        </w:rPr>
        <w:t xml:space="preserve">la norma e un commento </w:t>
      </w:r>
      <w:r w:rsidR="00704B3F">
        <w:rPr>
          <w:rFonts w:ascii="Bookman Old Style" w:hAnsi="Bookman Old Style"/>
        </w:rPr>
        <w:t>dell</w:t>
      </w:r>
      <w:r w:rsidR="00F82575">
        <w:rPr>
          <w:rFonts w:ascii="Bookman Old Style" w:hAnsi="Bookman Old Style"/>
        </w:rPr>
        <w:t>a stessa.</w:t>
      </w:r>
    </w:p>
    <w:p w14:paraId="3C14B2B2" w14:textId="01182B90" w:rsidR="004E0C4A" w:rsidRDefault="004E0C4A" w:rsidP="00A630DB">
      <w:pPr>
        <w:spacing w:line="360" w:lineRule="auto"/>
        <w:rPr>
          <w:rFonts w:ascii="Bookman Old Style" w:hAnsi="Bookman Old Style"/>
        </w:rPr>
      </w:pPr>
    </w:p>
    <w:p w14:paraId="5A726A90" w14:textId="77777777" w:rsidR="004E0C4A" w:rsidRDefault="004E0C4A" w:rsidP="004E0C4A">
      <w:pPr>
        <w:pStyle w:val="Titolo4"/>
        <w:rPr>
          <w:rFonts w:ascii="Bookman Old Style" w:hAnsi="Bookman Old Style"/>
        </w:rPr>
      </w:pPr>
      <w:r>
        <w:rPr>
          <w:rFonts w:ascii="Bookman Old Style" w:hAnsi="Bookman Old Style"/>
        </w:rPr>
        <w:t>Art. 10</w:t>
      </w:r>
      <w:r>
        <w:rPr>
          <w:rFonts w:ascii="Bookman Old Style" w:hAnsi="Bookman Old Style"/>
        </w:rPr>
        <w:br/>
        <w:t>(</w:t>
      </w:r>
      <w:bookmarkStart w:id="0" w:name="_Hlk118911289"/>
      <w:r>
        <w:rPr>
          <w:rFonts w:ascii="Bookman Old Style" w:hAnsi="Bookman Old Style"/>
        </w:rPr>
        <w:t>Norme in materia di procedure di affidamento dei lavori</w:t>
      </w:r>
      <w:bookmarkEnd w:id="0"/>
      <w:r>
        <w:rPr>
          <w:rFonts w:ascii="Bookman Old Style" w:hAnsi="Bookman Old Style"/>
        </w:rPr>
        <w:t xml:space="preserve">) </w:t>
      </w:r>
    </w:p>
    <w:p w14:paraId="726F08E0" w14:textId="77777777" w:rsidR="004E0C4A" w:rsidRDefault="004E0C4A" w:rsidP="004E0C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All’articolo 1, comma 1, lettera a), del decreto-legge 18 aprile 2019, n. 32, convertito, con modificazioni, dalla legge 14 giugno 2019, n. 55, sono aggiunte, in fine, le seguenti parole: “L’obbligo di cui al periodo precedente per i comuni non capoluogo di provincia è da intendersi applicabile alle procedure il cui importo è pari o superiore alle soglie di cui all’articolo 1, comma 2, lettera a), del decreto-legge 16 luglio 2020, n. 76, convertito, con modificazioni, dalla legge 11 settembre 2020, n. 120”.</w:t>
      </w:r>
    </w:p>
    <w:p w14:paraId="28B46F2A" w14:textId="77777777" w:rsidR="004E0C4A" w:rsidRDefault="004E0C4A" w:rsidP="004E0C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Alle stazioni appaltanti destinatarie di finanziamenti del PNRR o del PNC che, pur in possesso dei requisiti, non hanno avuto accesso al fondo di cui all’articolo 26, comma 7  e ss. del decreto   legge 50 del 2022 e non risultano beneficiarie delle preassegnazioni di cui all’articolo 29 del decreto-legge 144 del 2022 e dell’articolo 7 del DPCM 28 luglio 2022, ma che comunque hanno proceduto entro il termine del 31 dicembre 2022 all’avvio delle procedure di affidamento dei lavori ricorrendo a risorse diverse da quelle di cui al comma 6 del citato articolo 26 del decreto legge 50 del 2022 possono essere assegnati contributi, a valere sulle risorse residue disponibili al termine della procedura di assegnazione delle risorse del Fondo, finalizzati  a fronteggiare gli incrementi di costo derivanti dall’aggiornamento dei prezzari di cui ai commi 2 e 3 del medesimo articolo 26. All’attuazione del presente comma si provvede con decreto del Ministero dell’economia e delle finanze da adottare entro 60 giorni dall’entrata in vigore della presente disposizione.</w:t>
      </w:r>
    </w:p>
    <w:p w14:paraId="174BDF13" w14:textId="54B99260" w:rsidR="004E0C4A" w:rsidRDefault="004E0C4A" w:rsidP="00A630DB">
      <w:pPr>
        <w:spacing w:line="360" w:lineRule="auto"/>
        <w:rPr>
          <w:rFonts w:ascii="Bookman Old Style" w:hAnsi="Bookman Old Style"/>
        </w:rPr>
      </w:pPr>
    </w:p>
    <w:p w14:paraId="6E31543C" w14:textId="757984C5" w:rsidR="004E0C4A" w:rsidRDefault="004E0C4A" w:rsidP="00A630DB">
      <w:pPr>
        <w:spacing w:line="360" w:lineRule="auto"/>
        <w:rPr>
          <w:rFonts w:ascii="Bookman Old Style" w:hAnsi="Bookman Old Style"/>
        </w:rPr>
      </w:pPr>
    </w:p>
    <w:p w14:paraId="51E766E3" w14:textId="01BDA7FB" w:rsidR="004E0C4A" w:rsidRPr="001B6194" w:rsidRDefault="001B6194" w:rsidP="00A630DB">
      <w:pPr>
        <w:spacing w:line="360" w:lineRule="auto"/>
        <w:rPr>
          <w:rFonts w:ascii="Bookman Old Style" w:hAnsi="Bookman Old Style"/>
          <w:b/>
          <w:bCs/>
          <w:i/>
          <w:iCs/>
        </w:rPr>
      </w:pPr>
      <w:r w:rsidRPr="001B6194">
        <w:rPr>
          <w:rFonts w:ascii="Bookman Old Style" w:hAnsi="Bookman Old Style"/>
          <w:b/>
          <w:bCs/>
          <w:i/>
          <w:iCs/>
        </w:rPr>
        <w:t>Commento</w:t>
      </w:r>
    </w:p>
    <w:p w14:paraId="1F23A359" w14:textId="77777777" w:rsidR="00ED1447" w:rsidRDefault="00ED1447" w:rsidP="00ED1447">
      <w:pPr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lastRenderedPageBreak/>
        <w:t xml:space="preserve">La norma in commento </w:t>
      </w:r>
      <w:r>
        <w:rPr>
          <w:rFonts w:ascii="Bookman Old Style" w:hAnsi="Bookman Old Style"/>
          <w:bCs/>
        </w:rPr>
        <w:t>viene incontro alle difficoltà segnalate dall’ANCI rispetto alla</w:t>
      </w:r>
      <w:r>
        <w:rPr>
          <w:rFonts w:ascii="Bookman Old Style" w:hAnsi="Bookman Old Style"/>
        </w:rPr>
        <w:t xml:space="preserve"> delicata questione degli affidamenti diretti per i </w:t>
      </w:r>
      <w:r>
        <w:rPr>
          <w:rFonts w:ascii="Bookman Old Style" w:hAnsi="Bookman Old Style"/>
          <w:bCs/>
        </w:rPr>
        <w:t xml:space="preserve">Comuni per opere PNRR ed interviene sull’accesso ai contributi di cui al fondo opere indifferibili per gli enti rimasti esclusi dall’applicazione del DPCM del 28/7/2022. </w:t>
      </w:r>
    </w:p>
    <w:p w14:paraId="353E40F5" w14:textId="197F3586" w:rsidR="00ED1447" w:rsidRDefault="00ED1447" w:rsidP="00ED144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Il primo comma riguarda i Comuni non Capoluogo per gli interventi PNRR </w:t>
      </w:r>
      <w:r w:rsidR="009C07C2">
        <w:rPr>
          <w:rFonts w:ascii="Bookman Old Style" w:hAnsi="Bookman Old Style"/>
          <w:bCs/>
        </w:rPr>
        <w:t xml:space="preserve">e PNC </w:t>
      </w:r>
      <w:r>
        <w:rPr>
          <w:rFonts w:ascii="Bookman Old Style" w:hAnsi="Bookman Old Style"/>
          <w:bCs/>
        </w:rPr>
        <w:t xml:space="preserve">e dispone che – come richiesto dall’ANCI - tali enti </w:t>
      </w:r>
      <w:r w:rsidRPr="009C07C2">
        <w:rPr>
          <w:rFonts w:ascii="Bookman Old Style" w:hAnsi="Bookman Old Style"/>
          <w:b/>
        </w:rPr>
        <w:t>possono compiere affidamenti diretti fino a</w:t>
      </w:r>
      <w:r>
        <w:rPr>
          <w:rFonts w:ascii="Bookman Old Style" w:hAnsi="Bookman Old Style"/>
          <w:bCs/>
        </w:rPr>
        <w:t xml:space="preserve"> </w:t>
      </w:r>
      <w:r w:rsidRPr="009C07C2">
        <w:rPr>
          <w:rFonts w:ascii="Bookman Old Style" w:hAnsi="Bookman Old Style"/>
          <w:b/>
          <w:i/>
          <w:iCs/>
        </w:rPr>
        <w:t xml:space="preserve">139.000 euro, per </w:t>
      </w:r>
      <w:r w:rsidR="009C07C2">
        <w:rPr>
          <w:rFonts w:ascii="Bookman Old Style" w:hAnsi="Bookman Old Style"/>
          <w:b/>
          <w:i/>
          <w:iCs/>
        </w:rPr>
        <w:t xml:space="preserve">acquisti di </w:t>
      </w:r>
      <w:r w:rsidRPr="009C07C2">
        <w:rPr>
          <w:rFonts w:ascii="Bookman Old Style" w:hAnsi="Bookman Old Style"/>
          <w:b/>
          <w:i/>
          <w:iCs/>
        </w:rPr>
        <w:t>servizi e forniture</w:t>
      </w:r>
      <w:r w:rsidR="009C07C2">
        <w:rPr>
          <w:rFonts w:ascii="Bookman Old Style" w:hAnsi="Bookman Old Style"/>
          <w:bCs/>
        </w:rPr>
        <w:t xml:space="preserve">. Per i medesimi </w:t>
      </w:r>
      <w:proofErr w:type="gramStart"/>
      <w:r w:rsidR="009C07C2">
        <w:rPr>
          <w:rFonts w:ascii="Bookman Old Style" w:hAnsi="Bookman Old Style"/>
          <w:bCs/>
        </w:rPr>
        <w:t>Enti dunque</w:t>
      </w:r>
      <w:proofErr w:type="gramEnd"/>
      <w:r w:rsidR="009C07C2">
        <w:rPr>
          <w:rFonts w:ascii="Bookman Old Style" w:hAnsi="Bookman Old Style"/>
          <w:bCs/>
        </w:rPr>
        <w:t xml:space="preserve">, </w:t>
      </w:r>
      <w:r>
        <w:rPr>
          <w:rFonts w:ascii="Bookman Old Style" w:hAnsi="Bookman Old Style"/>
          <w:bCs/>
        </w:rPr>
        <w:t>solo oltre tale soglia</w:t>
      </w:r>
      <w:r w:rsidR="009C07C2">
        <w:rPr>
          <w:rFonts w:ascii="Bookman Old Style" w:hAnsi="Bookman Old Style"/>
          <w:bCs/>
        </w:rPr>
        <w:t xml:space="preserve"> di acquisti di servizi e forniture, </w:t>
      </w:r>
      <w:r>
        <w:rPr>
          <w:rFonts w:ascii="Bookman Old Style" w:hAnsi="Bookman Old Style"/>
          <w:bCs/>
        </w:rPr>
        <w:t>scatta l’obbligo di ricorrere alle aggregazioni (attraverso Centrali di committenza e Soggetti aggregatori; Unioni di Comuni, Consorzi e Associazioni; Province e Città Metropolitane; Comuni Capoluogo di Provincia). Per i lavori</w:t>
      </w:r>
      <w:r w:rsidR="009C07C2">
        <w:rPr>
          <w:rFonts w:ascii="Bookman Old Style" w:hAnsi="Bookman Old Style"/>
          <w:bCs/>
        </w:rPr>
        <w:t xml:space="preserve"> invece</w:t>
      </w:r>
      <w:r>
        <w:rPr>
          <w:rFonts w:ascii="Bookman Old Style" w:hAnsi="Bookman Old Style"/>
          <w:bCs/>
        </w:rPr>
        <w:t xml:space="preserve"> la soglia, oltre la quale scatta l’obbligo </w:t>
      </w:r>
      <w:r w:rsidR="009C07C2">
        <w:rPr>
          <w:rFonts w:ascii="Bookman Old Style" w:hAnsi="Bookman Old Style"/>
          <w:bCs/>
        </w:rPr>
        <w:t xml:space="preserve">per i medesimi Enti </w:t>
      </w:r>
      <w:r>
        <w:rPr>
          <w:rFonts w:ascii="Bookman Old Style" w:hAnsi="Bookman Old Style"/>
          <w:bCs/>
        </w:rPr>
        <w:t xml:space="preserve">di ricorrere alle aggregazioni, per gli affidamenti diretti </w:t>
      </w:r>
      <w:r w:rsidR="009C07C2">
        <w:rPr>
          <w:rFonts w:ascii="Bookman Old Style" w:hAnsi="Bookman Old Style"/>
          <w:bCs/>
        </w:rPr>
        <w:t xml:space="preserve">e sempre per opere finanziate a valere su risorse del PNRR e del PNC, rimane </w:t>
      </w:r>
      <w:r>
        <w:rPr>
          <w:rFonts w:ascii="Bookman Old Style" w:hAnsi="Bookman Old Style"/>
        </w:rPr>
        <w:t>invariata e fissata a 150.000 euro.</w:t>
      </w:r>
    </w:p>
    <w:p w14:paraId="304ED69D" w14:textId="77777777" w:rsidR="00ED1447" w:rsidRDefault="00ED1447" w:rsidP="00ED144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secondo comma, invece, consente alle stazioni appaltanti rimaste escluse dalla compensazione per la variazione dei prezzi dei materiali da costruzione, per opere PNRR e PNC (articolo 26, c. </w:t>
      </w:r>
      <w:proofErr w:type="gramStart"/>
      <w:r>
        <w:rPr>
          <w:rFonts w:ascii="Bookman Old Style" w:hAnsi="Bookman Old Style"/>
        </w:rPr>
        <w:t>7  del</w:t>
      </w:r>
      <w:proofErr w:type="gramEnd"/>
      <w:r>
        <w:rPr>
          <w:rFonts w:ascii="Bookman Old Style" w:hAnsi="Bookman Old Style"/>
        </w:rPr>
        <w:t xml:space="preserve"> dl 50/2022), l’accesso ai contributi di cui al fondo per l’avvio delle opere indifferibili, regolato dal DPCM del 28/7/2022. La norma prevede che i contributi residuali rispetto alle richieste di accesso al fondo già pervenute, saranno destinati a finanziare le amministrazioni che sono in possesso dei requisiti richiesti dal DPCM stesso e che hanno provveduto ad avviare le procedure di affidamento dei lavori entro il 31 dicembre 2022. Molti comuni infatti avevano bandito le procedure di affidamento per interventi PNRR e PNC prima del 18/5/2022 (anche in adesione ad Accordi Quadro con Invitalia) - data a decorrere dalla quale, come previsto dal DPCM, potevano essere effettuate le richieste di accesso al fondo avvio opere indifferibili - nonché non risultano neppure beneficiari delle preassegnazioni previste dal dl 144/2021 che richiama interventi specifici del PNC.</w:t>
      </w:r>
    </w:p>
    <w:p w14:paraId="5B8C162E" w14:textId="77777777" w:rsidR="00ED1447" w:rsidRDefault="00ED1447" w:rsidP="00ED1447">
      <w:pPr>
        <w:spacing w:line="36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La disposizione apre quindi la possibilità di accedere al fondo in questione, ma rimanda le modalità operative ad un decreto del Ministero dell’economia e delle finanze da adottare entro 60 giorni dall’entrata in vigore del </w:t>
      </w:r>
      <w:proofErr w:type="gramStart"/>
      <w:r>
        <w:rPr>
          <w:rFonts w:ascii="Bookman Old Style" w:hAnsi="Bookman Old Style"/>
          <w:i/>
          <w:iCs/>
        </w:rPr>
        <w:t>decreto legge</w:t>
      </w:r>
      <w:proofErr w:type="gramEnd"/>
      <w:r>
        <w:rPr>
          <w:rFonts w:ascii="Bookman Old Style" w:hAnsi="Bookman Old Style"/>
          <w:i/>
          <w:iCs/>
        </w:rPr>
        <w:t>.</w:t>
      </w:r>
    </w:p>
    <w:p w14:paraId="070C2A66" w14:textId="46385612" w:rsidR="00BF52DB" w:rsidRPr="00360639" w:rsidRDefault="00BF52DB" w:rsidP="00360639">
      <w:pPr>
        <w:spacing w:line="360" w:lineRule="auto"/>
        <w:rPr>
          <w:rFonts w:ascii="Bookman Old Style" w:hAnsi="Bookman Old Style"/>
          <w:b/>
          <w:bCs/>
        </w:rPr>
      </w:pPr>
    </w:p>
    <w:p w14:paraId="07A88E01" w14:textId="5F0FD563" w:rsidR="000329B4" w:rsidRPr="00360639" w:rsidRDefault="000329B4" w:rsidP="00360639">
      <w:pPr>
        <w:spacing w:line="360" w:lineRule="auto"/>
        <w:rPr>
          <w:rFonts w:ascii="Bookman Old Style" w:hAnsi="Bookman Old Style"/>
          <w:b/>
          <w:bCs/>
        </w:rPr>
      </w:pPr>
    </w:p>
    <w:p w14:paraId="7D3E4004" w14:textId="77777777" w:rsidR="003E13DD" w:rsidRPr="00360639" w:rsidRDefault="003E13DD" w:rsidP="00360639">
      <w:pPr>
        <w:spacing w:line="360" w:lineRule="auto"/>
        <w:rPr>
          <w:rFonts w:ascii="Bookman Old Style" w:hAnsi="Bookman Old Style"/>
        </w:rPr>
      </w:pPr>
    </w:p>
    <w:sectPr w:rsidR="003E13DD" w:rsidRPr="0036063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83BF" w14:textId="77777777" w:rsidR="00FE2FE5" w:rsidRDefault="00FE2FE5" w:rsidP="00C07704">
      <w:r>
        <w:separator/>
      </w:r>
    </w:p>
  </w:endnote>
  <w:endnote w:type="continuationSeparator" w:id="0">
    <w:p w14:paraId="18481182" w14:textId="77777777" w:rsidR="00FE2FE5" w:rsidRDefault="00FE2FE5" w:rsidP="00C0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11278"/>
      <w:docPartObj>
        <w:docPartGallery w:val="Page Numbers (Bottom of Page)"/>
        <w:docPartUnique/>
      </w:docPartObj>
    </w:sdtPr>
    <w:sdtEndPr/>
    <w:sdtContent>
      <w:p w14:paraId="15490D53" w14:textId="0866C767" w:rsidR="00C07704" w:rsidRDefault="00C077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90899" w14:textId="77777777" w:rsidR="00C07704" w:rsidRDefault="00C07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4000" w14:textId="77777777" w:rsidR="00FE2FE5" w:rsidRDefault="00FE2FE5" w:rsidP="00C07704">
      <w:r>
        <w:separator/>
      </w:r>
    </w:p>
  </w:footnote>
  <w:footnote w:type="continuationSeparator" w:id="0">
    <w:p w14:paraId="6D000E2A" w14:textId="77777777" w:rsidR="00FE2FE5" w:rsidRDefault="00FE2FE5" w:rsidP="00C0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DD"/>
    <w:rsid w:val="000329B4"/>
    <w:rsid w:val="00061FCD"/>
    <w:rsid w:val="00063E77"/>
    <w:rsid w:val="00194B04"/>
    <w:rsid w:val="001A086B"/>
    <w:rsid w:val="001A6855"/>
    <w:rsid w:val="001B40E9"/>
    <w:rsid w:val="001B6194"/>
    <w:rsid w:val="00226C8D"/>
    <w:rsid w:val="002807F5"/>
    <w:rsid w:val="003025F1"/>
    <w:rsid w:val="0030447E"/>
    <w:rsid w:val="0035057A"/>
    <w:rsid w:val="00360639"/>
    <w:rsid w:val="00360FF7"/>
    <w:rsid w:val="003E13DD"/>
    <w:rsid w:val="003F2101"/>
    <w:rsid w:val="004160AE"/>
    <w:rsid w:val="00424120"/>
    <w:rsid w:val="00432855"/>
    <w:rsid w:val="00446543"/>
    <w:rsid w:val="0045211E"/>
    <w:rsid w:val="004865DD"/>
    <w:rsid w:val="004C0F76"/>
    <w:rsid w:val="004C1C08"/>
    <w:rsid w:val="004E0C4A"/>
    <w:rsid w:val="005030AC"/>
    <w:rsid w:val="00516578"/>
    <w:rsid w:val="005309D8"/>
    <w:rsid w:val="005C0485"/>
    <w:rsid w:val="005D1783"/>
    <w:rsid w:val="00676467"/>
    <w:rsid w:val="006C4803"/>
    <w:rsid w:val="006D0137"/>
    <w:rsid w:val="006D0AF2"/>
    <w:rsid w:val="00704B3F"/>
    <w:rsid w:val="00761EF2"/>
    <w:rsid w:val="00787326"/>
    <w:rsid w:val="007B5D72"/>
    <w:rsid w:val="007D3A63"/>
    <w:rsid w:val="007D3DD6"/>
    <w:rsid w:val="0086642C"/>
    <w:rsid w:val="008A51F6"/>
    <w:rsid w:val="008E323A"/>
    <w:rsid w:val="00915E29"/>
    <w:rsid w:val="009569C0"/>
    <w:rsid w:val="00972261"/>
    <w:rsid w:val="00991A9D"/>
    <w:rsid w:val="009C07C2"/>
    <w:rsid w:val="009F58C9"/>
    <w:rsid w:val="00A35160"/>
    <w:rsid w:val="00A630DB"/>
    <w:rsid w:val="00A8419D"/>
    <w:rsid w:val="00B07D71"/>
    <w:rsid w:val="00B11DD7"/>
    <w:rsid w:val="00B26D76"/>
    <w:rsid w:val="00B37AE0"/>
    <w:rsid w:val="00B52386"/>
    <w:rsid w:val="00B8158D"/>
    <w:rsid w:val="00B9081B"/>
    <w:rsid w:val="00BB2223"/>
    <w:rsid w:val="00BE1906"/>
    <w:rsid w:val="00BF52DB"/>
    <w:rsid w:val="00C07704"/>
    <w:rsid w:val="00C62FCF"/>
    <w:rsid w:val="00C70364"/>
    <w:rsid w:val="00C90DDA"/>
    <w:rsid w:val="00CE4813"/>
    <w:rsid w:val="00D30993"/>
    <w:rsid w:val="00D41509"/>
    <w:rsid w:val="00D8337F"/>
    <w:rsid w:val="00DE0271"/>
    <w:rsid w:val="00DF3470"/>
    <w:rsid w:val="00E1111A"/>
    <w:rsid w:val="00E27B96"/>
    <w:rsid w:val="00E35607"/>
    <w:rsid w:val="00E80E70"/>
    <w:rsid w:val="00E85647"/>
    <w:rsid w:val="00EC4478"/>
    <w:rsid w:val="00ED1447"/>
    <w:rsid w:val="00F301B8"/>
    <w:rsid w:val="00F32451"/>
    <w:rsid w:val="00F47E5C"/>
    <w:rsid w:val="00F82575"/>
    <w:rsid w:val="00FB6848"/>
    <w:rsid w:val="00FD2E22"/>
    <w:rsid w:val="00FE2FE5"/>
    <w:rsid w:val="00FF4DF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8D7"/>
  <w15:chartTrackingRefBased/>
  <w15:docId w15:val="{7D724638-E22E-45AE-B8E6-08710C41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3DD"/>
    <w:pPr>
      <w:spacing w:after="0" w:line="240" w:lineRule="auto"/>
      <w:jc w:val="both"/>
    </w:pPr>
    <w:rPr>
      <w:rFonts w:ascii="Times New Roman" w:hAnsi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13DD"/>
    <w:pPr>
      <w:keepNext/>
      <w:keepLines/>
      <w:spacing w:before="360" w:after="120"/>
      <w:jc w:val="center"/>
      <w:outlineLvl w:val="3"/>
    </w:pPr>
    <w:rPr>
      <w:rFonts w:eastAsiaTheme="majorEastAsia" w:cstheme="majorBidi"/>
      <w:b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E13DD"/>
    <w:rPr>
      <w:rFonts w:ascii="Times New Roman" w:eastAsiaTheme="majorEastAsia" w:hAnsi="Times New Roman" w:cstheme="majorBidi"/>
      <w:b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07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704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7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70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4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Sorrenti</dc:creator>
  <cp:keywords/>
  <dc:description/>
  <cp:lastModifiedBy>Stefania Dota</cp:lastModifiedBy>
  <cp:revision>2</cp:revision>
  <dcterms:created xsi:type="dcterms:W3CDTF">2022-11-11T16:23:00Z</dcterms:created>
  <dcterms:modified xsi:type="dcterms:W3CDTF">2022-11-11T16:23:00Z</dcterms:modified>
</cp:coreProperties>
</file>