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45686" w14:textId="27F729E7" w:rsidR="000B0220" w:rsidRPr="009671A9" w:rsidRDefault="000B0220" w:rsidP="000B0220">
      <w:pPr>
        <w:spacing w:after="80"/>
        <w:ind w:left="3398" w:right="-143" w:firstLine="850"/>
        <w:jc w:val="both"/>
        <w:rPr>
          <w:rFonts w:asciiTheme="majorHAnsi" w:hAnsiTheme="majorHAnsi"/>
          <w:b/>
          <w:bCs/>
          <w:sz w:val="24"/>
          <w:szCs w:val="24"/>
        </w:rPr>
      </w:pPr>
      <w:bookmarkStart w:id="0" w:name="_GoBack"/>
      <w:bookmarkEnd w:id="0"/>
      <w:r w:rsidRPr="009671A9">
        <w:rPr>
          <w:rFonts w:asciiTheme="majorHAnsi" w:hAnsiTheme="majorHAnsi"/>
          <w:noProof/>
          <w:sz w:val="24"/>
          <w:szCs w:val="24"/>
          <w:lang w:eastAsia="it-IT"/>
        </w:rPr>
        <w:drawing>
          <wp:inline distT="0" distB="0" distL="0" distR="0" wp14:anchorId="500F4963" wp14:editId="757F4194">
            <wp:extent cx="685800" cy="895350"/>
            <wp:effectExtent l="0" t="0" r="0" b="0"/>
            <wp:docPr id="2" name="Immagine 2"/>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14:paraId="5D49CD93" w14:textId="77777777" w:rsidR="000B0220" w:rsidRPr="009671A9" w:rsidRDefault="000B0220" w:rsidP="00124509">
      <w:pPr>
        <w:spacing w:after="80"/>
        <w:ind w:left="-142" w:right="-143"/>
        <w:jc w:val="both"/>
        <w:rPr>
          <w:rFonts w:asciiTheme="majorHAnsi" w:hAnsiTheme="majorHAnsi"/>
          <w:b/>
          <w:bCs/>
          <w:sz w:val="24"/>
          <w:szCs w:val="24"/>
        </w:rPr>
      </w:pPr>
    </w:p>
    <w:p w14:paraId="19038AB8" w14:textId="2FF82254" w:rsidR="000A56FC" w:rsidRPr="009671A9" w:rsidRDefault="000A56FC" w:rsidP="009671A9">
      <w:pPr>
        <w:spacing w:after="80"/>
        <w:ind w:left="-142" w:right="-143"/>
        <w:jc w:val="center"/>
        <w:rPr>
          <w:rFonts w:asciiTheme="majorHAnsi" w:hAnsiTheme="majorHAnsi"/>
          <w:b/>
          <w:bCs/>
          <w:i/>
          <w:iCs/>
          <w:sz w:val="24"/>
          <w:szCs w:val="24"/>
        </w:rPr>
      </w:pPr>
      <w:r w:rsidRPr="009671A9">
        <w:rPr>
          <w:rFonts w:asciiTheme="majorHAnsi" w:hAnsiTheme="majorHAnsi"/>
          <w:b/>
          <w:bCs/>
          <w:sz w:val="24"/>
          <w:szCs w:val="24"/>
        </w:rPr>
        <w:t>NOTA PER STATI GENERALI DELL’ECONOMIA  “</w:t>
      </w:r>
      <w:r w:rsidRPr="009671A9">
        <w:rPr>
          <w:rFonts w:asciiTheme="majorHAnsi" w:hAnsiTheme="majorHAnsi"/>
          <w:b/>
          <w:bCs/>
          <w:i/>
          <w:iCs/>
          <w:sz w:val="24"/>
          <w:szCs w:val="24"/>
        </w:rPr>
        <w:t>PROGETTIAMO IL RILANCIO”</w:t>
      </w:r>
    </w:p>
    <w:p w14:paraId="37ED7402" w14:textId="01AFE45A" w:rsidR="000A56FC" w:rsidRPr="009671A9" w:rsidRDefault="00124509" w:rsidP="000B0220">
      <w:pPr>
        <w:spacing w:after="80"/>
        <w:ind w:left="-142" w:right="-143"/>
        <w:jc w:val="center"/>
        <w:rPr>
          <w:rFonts w:asciiTheme="majorHAnsi" w:hAnsiTheme="majorHAnsi"/>
          <w:b/>
          <w:bCs/>
          <w:sz w:val="24"/>
          <w:szCs w:val="24"/>
        </w:rPr>
      </w:pPr>
      <w:r w:rsidRPr="009671A9">
        <w:rPr>
          <w:rFonts w:asciiTheme="majorHAnsi" w:hAnsiTheme="majorHAnsi"/>
          <w:b/>
          <w:bCs/>
          <w:sz w:val="24"/>
          <w:szCs w:val="24"/>
        </w:rPr>
        <w:t>1</w:t>
      </w:r>
      <w:r w:rsidR="00AC02B1" w:rsidRPr="009671A9">
        <w:rPr>
          <w:rFonts w:asciiTheme="majorHAnsi" w:hAnsiTheme="majorHAnsi"/>
          <w:b/>
          <w:bCs/>
          <w:sz w:val="24"/>
          <w:szCs w:val="24"/>
        </w:rPr>
        <w:t>5</w:t>
      </w:r>
      <w:r w:rsidR="000A56FC" w:rsidRPr="009671A9">
        <w:rPr>
          <w:rFonts w:asciiTheme="majorHAnsi" w:hAnsiTheme="majorHAnsi"/>
          <w:b/>
          <w:bCs/>
          <w:sz w:val="24"/>
          <w:szCs w:val="24"/>
        </w:rPr>
        <w:t xml:space="preserve"> GIUGNO 2020</w:t>
      </w:r>
    </w:p>
    <w:p w14:paraId="6AACDD1C" w14:textId="0B4ECFF6" w:rsidR="00124509" w:rsidRPr="009671A9" w:rsidRDefault="00124509" w:rsidP="00EE4148">
      <w:pPr>
        <w:pStyle w:val="Paragrafoelenco"/>
        <w:numPr>
          <w:ilvl w:val="0"/>
          <w:numId w:val="8"/>
        </w:numPr>
        <w:spacing w:after="80"/>
        <w:jc w:val="both"/>
        <w:rPr>
          <w:rFonts w:asciiTheme="majorHAnsi" w:hAnsiTheme="majorHAnsi"/>
          <w:b/>
          <w:bCs/>
          <w:i/>
          <w:iCs/>
          <w:sz w:val="24"/>
          <w:szCs w:val="24"/>
        </w:rPr>
      </w:pPr>
      <w:r w:rsidRPr="009671A9">
        <w:rPr>
          <w:rFonts w:asciiTheme="majorHAnsi" w:hAnsiTheme="majorHAnsi"/>
          <w:b/>
          <w:bCs/>
          <w:i/>
          <w:iCs/>
          <w:sz w:val="24"/>
          <w:szCs w:val="24"/>
        </w:rPr>
        <w:t>PREMESSA</w:t>
      </w:r>
    </w:p>
    <w:p w14:paraId="2B884F4A" w14:textId="2C5B45CF" w:rsidR="00FC5B40" w:rsidRPr="009671A9" w:rsidRDefault="00FC5B40" w:rsidP="00124509">
      <w:pPr>
        <w:spacing w:after="80"/>
        <w:jc w:val="both"/>
        <w:rPr>
          <w:rFonts w:asciiTheme="majorHAnsi" w:hAnsiTheme="majorHAnsi"/>
          <w:sz w:val="24"/>
          <w:szCs w:val="24"/>
        </w:rPr>
      </w:pPr>
      <w:r w:rsidRPr="009671A9">
        <w:rPr>
          <w:rFonts w:asciiTheme="majorHAnsi" w:hAnsiTheme="majorHAnsi"/>
          <w:sz w:val="24"/>
          <w:szCs w:val="24"/>
        </w:rPr>
        <w:t xml:space="preserve">Il contesto inedito e drammatico degli effetti economico-sociali prodotti dall’emergenza dovuta alla pandemia da virus COVID-19 va valutato con attenzione per definire rapidamente le misure indispensabili nel breve e medio periodo e per promuovere una fase di rilancio che punti su una </w:t>
      </w:r>
      <w:r w:rsidR="00124509" w:rsidRPr="009671A9">
        <w:rPr>
          <w:rFonts w:asciiTheme="majorHAnsi" w:hAnsiTheme="majorHAnsi"/>
          <w:sz w:val="24"/>
          <w:szCs w:val="24"/>
        </w:rPr>
        <w:t>stagione</w:t>
      </w:r>
      <w:r w:rsidRPr="009671A9">
        <w:rPr>
          <w:rFonts w:asciiTheme="majorHAnsi" w:hAnsiTheme="majorHAnsi"/>
          <w:sz w:val="24"/>
          <w:szCs w:val="24"/>
        </w:rPr>
        <w:t xml:space="preserve"> straordinaria di investimenti pubblici.</w:t>
      </w:r>
    </w:p>
    <w:p w14:paraId="27568634" w14:textId="3E52A230" w:rsidR="00FC5B40" w:rsidRPr="009671A9" w:rsidRDefault="00FC5B40" w:rsidP="00124509">
      <w:pPr>
        <w:spacing w:after="80"/>
        <w:jc w:val="both"/>
        <w:rPr>
          <w:rFonts w:asciiTheme="majorHAnsi" w:hAnsiTheme="majorHAnsi"/>
          <w:sz w:val="24"/>
          <w:szCs w:val="24"/>
        </w:rPr>
      </w:pPr>
      <w:r w:rsidRPr="009671A9">
        <w:rPr>
          <w:rFonts w:asciiTheme="majorHAnsi" w:hAnsiTheme="majorHAnsi"/>
          <w:sz w:val="24"/>
          <w:szCs w:val="24"/>
        </w:rPr>
        <w:t>Le previsioni macroeconomiche danno da sole l’idea di una crisi davvero senza precedenti, anche se paragonata a quella dello scorso decennio. Tutta l’economia mondiale è coinvolta e la ripresa dei circuiti industriali e degli scambi internazionali sarà per mesi condizionata dagli esiti del contrasto alla diffusione del virus.</w:t>
      </w:r>
    </w:p>
    <w:p w14:paraId="3D6734D5" w14:textId="77777777" w:rsidR="00FC5B40" w:rsidRPr="009671A9" w:rsidRDefault="00FC5B40" w:rsidP="00124509">
      <w:pPr>
        <w:spacing w:after="80"/>
        <w:jc w:val="both"/>
        <w:rPr>
          <w:rFonts w:asciiTheme="majorHAnsi" w:hAnsiTheme="majorHAnsi"/>
          <w:sz w:val="24"/>
          <w:szCs w:val="24"/>
        </w:rPr>
      </w:pPr>
      <w:r w:rsidRPr="009671A9">
        <w:rPr>
          <w:rFonts w:asciiTheme="majorHAnsi" w:hAnsiTheme="majorHAnsi"/>
          <w:sz w:val="24"/>
          <w:szCs w:val="24"/>
        </w:rPr>
        <w:t>La riduzione del 7,1% del PIL indicata nel DEF è una misura riassuntiva e forse perfino ottimista a fronte di un calo atteso per il primo semestre del -15%. La sintesi, tuttavia, non restituisce la profondità dei problemi che abbiamo di fronte: l’occupazione in calo del 6,5%, il crollo degli investimenti, che rischia di coinvolgere anche quelli degli enti locali in robusta ripresa fino all’inizio dell’anno, nonché l’esigenza di un sostegno straordinario all’innovazione, si accompagnano all’attesa di una ripartenza fondata inevitabilmente su nuove basi per l’operatività di tutti i settori economici e di intere filiere di servizi pubblici, regionali e locali.</w:t>
      </w:r>
    </w:p>
    <w:p w14:paraId="3B62B535" w14:textId="77777777" w:rsidR="00FC5B40" w:rsidRPr="009671A9" w:rsidRDefault="00FC5B40" w:rsidP="00124509">
      <w:pPr>
        <w:spacing w:after="80"/>
        <w:jc w:val="both"/>
        <w:rPr>
          <w:rFonts w:asciiTheme="majorHAnsi" w:hAnsiTheme="majorHAnsi"/>
          <w:sz w:val="24"/>
          <w:szCs w:val="24"/>
        </w:rPr>
      </w:pPr>
      <w:r w:rsidRPr="009671A9">
        <w:rPr>
          <w:rFonts w:asciiTheme="majorHAnsi" w:hAnsiTheme="majorHAnsi"/>
          <w:sz w:val="24"/>
          <w:szCs w:val="24"/>
        </w:rPr>
        <w:t xml:space="preserve">Sono di uso corrente metafore belliche per descrivere con più efficacia l’attuale contesto, COVID-19 è il nemico, contro il quale adeguare armi tattiche e risorse strategiche, in modo concentrato e “chirurgico”. Ma il dato più rilevante per chi è chiamato a responsabilità di governo, tanto più nei territori, è l’effetto rivelatore che questa emergenza sta avendo sulla nostra azione. </w:t>
      </w:r>
      <w:r w:rsidRPr="009671A9">
        <w:rPr>
          <w:rFonts w:asciiTheme="majorHAnsi" w:hAnsiTheme="majorHAnsi"/>
          <w:b/>
          <w:bCs/>
          <w:sz w:val="24"/>
          <w:szCs w:val="24"/>
          <w:u w:val="single"/>
        </w:rPr>
        <w:t>L’emergenza mette a nudo la debolezza dei sistemi pubblici, sanitari e sociali in primo luogo.</w:t>
      </w:r>
      <w:r w:rsidRPr="009671A9">
        <w:rPr>
          <w:rFonts w:asciiTheme="majorHAnsi" w:hAnsiTheme="majorHAnsi"/>
          <w:sz w:val="24"/>
          <w:szCs w:val="24"/>
        </w:rPr>
        <w:t xml:space="preserve">  </w:t>
      </w:r>
    </w:p>
    <w:p w14:paraId="54CE8653" w14:textId="77777777" w:rsidR="00F43AA6" w:rsidRPr="009671A9" w:rsidRDefault="00FC5B40" w:rsidP="00124509">
      <w:pPr>
        <w:spacing w:after="80"/>
        <w:jc w:val="both"/>
        <w:rPr>
          <w:rFonts w:asciiTheme="majorHAnsi" w:hAnsiTheme="majorHAnsi"/>
          <w:sz w:val="24"/>
          <w:szCs w:val="24"/>
        </w:rPr>
      </w:pPr>
      <w:r w:rsidRPr="009671A9">
        <w:rPr>
          <w:rFonts w:asciiTheme="majorHAnsi" w:hAnsiTheme="majorHAnsi"/>
          <w:sz w:val="24"/>
          <w:szCs w:val="24"/>
        </w:rPr>
        <w:t>Per ciò che riguarda i Comuni e le Città metropolitane, la crisi fa emergere con ancora maggior evidenza gli effetti in molti casi devastanti dei tagli stabiliti nel quinquennio 2011-2015, solo in parte mitigati negli anni successivi, che si sono concretizzati in una riduzione netta di capacità operativa per migliaia di Comuni e per la totalità delle Città metropolitane.</w:t>
      </w:r>
      <w:r w:rsidR="00F43AA6" w:rsidRPr="009671A9">
        <w:rPr>
          <w:rFonts w:asciiTheme="majorHAnsi" w:hAnsiTheme="majorHAnsi"/>
          <w:sz w:val="24"/>
          <w:szCs w:val="24"/>
        </w:rPr>
        <w:t xml:space="preserve"> Così come gli effetti negativi derivanti dall’archiviato patto di stabilità, il cui meritorio superamento non si è accompagnato a regole efficaci per rilanciare la spesa in conto capitale.</w:t>
      </w:r>
      <w:r w:rsidRPr="009671A9">
        <w:rPr>
          <w:rFonts w:asciiTheme="majorHAnsi" w:hAnsiTheme="majorHAnsi"/>
          <w:sz w:val="24"/>
          <w:szCs w:val="24"/>
        </w:rPr>
        <w:t xml:space="preserve"> </w:t>
      </w:r>
    </w:p>
    <w:p w14:paraId="1203F05A" w14:textId="750FB44B" w:rsidR="00FC5B40" w:rsidRPr="009671A9" w:rsidRDefault="00F43AA6" w:rsidP="00124509">
      <w:pPr>
        <w:spacing w:after="80"/>
        <w:jc w:val="both"/>
        <w:rPr>
          <w:rFonts w:asciiTheme="majorHAnsi" w:hAnsiTheme="majorHAnsi"/>
          <w:sz w:val="24"/>
          <w:szCs w:val="24"/>
        </w:rPr>
      </w:pPr>
      <w:r w:rsidRPr="009671A9">
        <w:rPr>
          <w:rFonts w:asciiTheme="majorHAnsi" w:hAnsiTheme="majorHAnsi"/>
          <w:sz w:val="24"/>
          <w:szCs w:val="24"/>
        </w:rPr>
        <w:t>Le</w:t>
      </w:r>
      <w:r w:rsidR="000A56FC" w:rsidRPr="009671A9">
        <w:rPr>
          <w:rFonts w:asciiTheme="majorHAnsi" w:hAnsiTheme="majorHAnsi"/>
          <w:sz w:val="24"/>
          <w:szCs w:val="24"/>
        </w:rPr>
        <w:t xml:space="preserve"> stesse</w:t>
      </w:r>
      <w:r w:rsidRPr="009671A9">
        <w:rPr>
          <w:rFonts w:asciiTheme="majorHAnsi" w:hAnsiTheme="majorHAnsi"/>
          <w:sz w:val="24"/>
          <w:szCs w:val="24"/>
        </w:rPr>
        <w:t xml:space="preserve"> Città metropolitane</w:t>
      </w:r>
      <w:r w:rsidR="00FC5B40" w:rsidRPr="009671A9">
        <w:rPr>
          <w:rFonts w:asciiTheme="majorHAnsi" w:hAnsiTheme="majorHAnsi"/>
          <w:sz w:val="24"/>
          <w:szCs w:val="24"/>
        </w:rPr>
        <w:t xml:space="preserve"> tuttora, vedono il proprio ruolo fortemente diminuito dal mancato riconoscimento delle funzioni programmatorie, che pure la legge 56/2014 ha </w:t>
      </w:r>
      <w:r w:rsidR="00704BED" w:rsidRPr="009671A9">
        <w:rPr>
          <w:rFonts w:asciiTheme="majorHAnsi" w:hAnsiTheme="majorHAnsi"/>
          <w:sz w:val="24"/>
          <w:szCs w:val="24"/>
        </w:rPr>
        <w:t>attribuito</w:t>
      </w:r>
      <w:r w:rsidR="00FC5B40" w:rsidRPr="009671A9">
        <w:rPr>
          <w:rFonts w:asciiTheme="majorHAnsi" w:hAnsiTheme="majorHAnsi"/>
          <w:sz w:val="24"/>
          <w:szCs w:val="24"/>
        </w:rPr>
        <w:t>, ma che non hanno riscontro in termini di ulteriore e dovuto finanziamento, si pensi soltanto all’attribuzione legislativa della funzione fondamentale dello sviluppo economico a cui a distanza di 5 anni non si è data att</w:t>
      </w:r>
      <w:r w:rsidRPr="009671A9">
        <w:rPr>
          <w:rFonts w:asciiTheme="majorHAnsi" w:hAnsiTheme="majorHAnsi"/>
          <w:sz w:val="24"/>
          <w:szCs w:val="24"/>
        </w:rPr>
        <w:t>ua</w:t>
      </w:r>
      <w:r w:rsidR="00FC5B40" w:rsidRPr="009671A9">
        <w:rPr>
          <w:rFonts w:asciiTheme="majorHAnsi" w:hAnsiTheme="majorHAnsi"/>
          <w:sz w:val="24"/>
          <w:szCs w:val="24"/>
        </w:rPr>
        <w:t>zione.</w:t>
      </w:r>
    </w:p>
    <w:p w14:paraId="3C286A23" w14:textId="77777777" w:rsidR="00FC5B40" w:rsidRPr="009671A9" w:rsidRDefault="00FC5B40" w:rsidP="00124509">
      <w:pPr>
        <w:spacing w:after="80"/>
        <w:jc w:val="both"/>
        <w:rPr>
          <w:rFonts w:asciiTheme="majorHAnsi" w:hAnsiTheme="majorHAnsi"/>
          <w:sz w:val="24"/>
          <w:szCs w:val="24"/>
        </w:rPr>
      </w:pPr>
    </w:p>
    <w:p w14:paraId="47F18EE1" w14:textId="7788367E" w:rsidR="00FC5B40" w:rsidRPr="009671A9" w:rsidRDefault="00FC5B40" w:rsidP="00124509">
      <w:pPr>
        <w:spacing w:after="80"/>
        <w:jc w:val="both"/>
        <w:rPr>
          <w:rFonts w:asciiTheme="majorHAnsi" w:hAnsiTheme="majorHAnsi"/>
          <w:sz w:val="24"/>
          <w:szCs w:val="24"/>
        </w:rPr>
      </w:pPr>
      <w:r w:rsidRPr="009671A9">
        <w:rPr>
          <w:rFonts w:asciiTheme="majorHAnsi" w:hAnsiTheme="majorHAnsi"/>
          <w:sz w:val="24"/>
          <w:szCs w:val="24"/>
        </w:rPr>
        <w:lastRenderedPageBreak/>
        <w:t xml:space="preserve">Con il </w:t>
      </w:r>
      <w:r w:rsidR="00124509" w:rsidRPr="009671A9">
        <w:rPr>
          <w:rFonts w:asciiTheme="majorHAnsi" w:hAnsiTheme="majorHAnsi"/>
          <w:sz w:val="24"/>
          <w:szCs w:val="24"/>
        </w:rPr>
        <w:t>D</w:t>
      </w:r>
      <w:r w:rsidRPr="009671A9">
        <w:rPr>
          <w:rFonts w:asciiTheme="majorHAnsi" w:hAnsiTheme="majorHAnsi"/>
          <w:sz w:val="24"/>
          <w:szCs w:val="24"/>
        </w:rPr>
        <w:t>ocumento in 10 punti</w:t>
      </w:r>
      <w:r w:rsidR="00F43AA6" w:rsidRPr="009671A9">
        <w:rPr>
          <w:rFonts w:asciiTheme="majorHAnsi" w:hAnsiTheme="majorHAnsi"/>
          <w:sz w:val="24"/>
          <w:szCs w:val="24"/>
        </w:rPr>
        <w:t xml:space="preserve"> già</w:t>
      </w:r>
      <w:r w:rsidRPr="009671A9">
        <w:rPr>
          <w:rFonts w:asciiTheme="majorHAnsi" w:hAnsiTheme="majorHAnsi"/>
          <w:sz w:val="24"/>
          <w:szCs w:val="24"/>
        </w:rPr>
        <w:t xml:space="preserve"> presentato</w:t>
      </w:r>
      <w:r w:rsidR="00F43AA6" w:rsidRPr="009671A9">
        <w:rPr>
          <w:rFonts w:asciiTheme="majorHAnsi" w:hAnsiTheme="majorHAnsi"/>
          <w:sz w:val="24"/>
          <w:szCs w:val="24"/>
        </w:rPr>
        <w:t xml:space="preserve">, </w:t>
      </w:r>
      <w:r w:rsidRPr="009671A9">
        <w:rPr>
          <w:rFonts w:asciiTheme="majorHAnsi" w:hAnsiTheme="majorHAnsi"/>
          <w:sz w:val="24"/>
          <w:szCs w:val="24"/>
        </w:rPr>
        <w:t xml:space="preserve">i Sindaci delle grandi </w:t>
      </w:r>
      <w:r w:rsidR="00704BED" w:rsidRPr="009671A9">
        <w:rPr>
          <w:rFonts w:asciiTheme="majorHAnsi" w:hAnsiTheme="majorHAnsi"/>
          <w:sz w:val="24"/>
          <w:szCs w:val="24"/>
        </w:rPr>
        <w:t>C</w:t>
      </w:r>
      <w:r w:rsidRPr="009671A9">
        <w:rPr>
          <w:rFonts w:asciiTheme="majorHAnsi" w:hAnsiTheme="majorHAnsi"/>
          <w:sz w:val="24"/>
          <w:szCs w:val="24"/>
        </w:rPr>
        <w:t>ittà  si sono fatti interpreti in prima persona</w:t>
      </w:r>
      <w:r w:rsidR="00F43AA6" w:rsidRPr="009671A9">
        <w:rPr>
          <w:rFonts w:asciiTheme="majorHAnsi" w:hAnsiTheme="majorHAnsi"/>
          <w:sz w:val="24"/>
          <w:szCs w:val="24"/>
        </w:rPr>
        <w:t>, a nome di tutti i sindaci,</w:t>
      </w:r>
      <w:r w:rsidRPr="009671A9">
        <w:rPr>
          <w:rFonts w:asciiTheme="majorHAnsi" w:hAnsiTheme="majorHAnsi"/>
          <w:sz w:val="24"/>
          <w:szCs w:val="24"/>
        </w:rPr>
        <w:t xml:space="preserve"> delle richieste che l’ANCI ha formulato per una ri</w:t>
      </w:r>
      <w:r w:rsidR="00F43AA6" w:rsidRPr="009671A9">
        <w:rPr>
          <w:rFonts w:asciiTheme="majorHAnsi" w:hAnsiTheme="majorHAnsi"/>
          <w:sz w:val="24"/>
          <w:szCs w:val="24"/>
        </w:rPr>
        <w:t>presa</w:t>
      </w:r>
      <w:r w:rsidRPr="009671A9">
        <w:rPr>
          <w:rFonts w:asciiTheme="majorHAnsi" w:hAnsiTheme="majorHAnsi"/>
          <w:sz w:val="24"/>
          <w:szCs w:val="24"/>
        </w:rPr>
        <w:t xml:space="preserve"> sicura, duratura e in grado di </w:t>
      </w:r>
      <w:r w:rsidR="00F43AA6" w:rsidRPr="009671A9">
        <w:rPr>
          <w:rFonts w:asciiTheme="majorHAnsi" w:hAnsiTheme="majorHAnsi"/>
          <w:sz w:val="24"/>
          <w:szCs w:val="24"/>
        </w:rPr>
        <w:t xml:space="preserve">dare </w:t>
      </w:r>
      <w:r w:rsidRPr="009671A9">
        <w:rPr>
          <w:rFonts w:asciiTheme="majorHAnsi" w:hAnsiTheme="majorHAnsi"/>
          <w:sz w:val="24"/>
          <w:szCs w:val="24"/>
        </w:rPr>
        <w:t>sostegno agli investimenti</w:t>
      </w:r>
      <w:r w:rsidR="00704BED" w:rsidRPr="009671A9">
        <w:rPr>
          <w:rFonts w:asciiTheme="majorHAnsi" w:hAnsiTheme="majorHAnsi"/>
          <w:sz w:val="24"/>
          <w:szCs w:val="24"/>
        </w:rPr>
        <w:t xml:space="preserve"> </w:t>
      </w:r>
      <w:r w:rsidRPr="009671A9">
        <w:rPr>
          <w:rFonts w:asciiTheme="majorHAnsi" w:hAnsiTheme="majorHAnsi"/>
          <w:sz w:val="24"/>
          <w:szCs w:val="24"/>
        </w:rPr>
        <w:t>locali</w:t>
      </w:r>
      <w:r w:rsidR="002C47F7" w:rsidRPr="009671A9">
        <w:rPr>
          <w:rFonts w:asciiTheme="majorHAnsi" w:hAnsiTheme="majorHAnsi"/>
          <w:sz w:val="24"/>
          <w:szCs w:val="24"/>
        </w:rPr>
        <w:t>.</w:t>
      </w:r>
    </w:p>
    <w:p w14:paraId="19032794" w14:textId="20E5AEF1" w:rsidR="0082758F" w:rsidRPr="009671A9" w:rsidRDefault="002C47F7" w:rsidP="00124509">
      <w:pPr>
        <w:spacing w:after="80"/>
        <w:jc w:val="both"/>
        <w:rPr>
          <w:rFonts w:asciiTheme="majorHAnsi" w:hAnsiTheme="majorHAnsi"/>
          <w:b/>
          <w:bCs/>
          <w:sz w:val="24"/>
          <w:szCs w:val="24"/>
        </w:rPr>
      </w:pPr>
      <w:r w:rsidRPr="009671A9">
        <w:rPr>
          <w:rFonts w:asciiTheme="majorHAnsi" w:hAnsiTheme="majorHAnsi"/>
          <w:sz w:val="24"/>
          <w:szCs w:val="24"/>
        </w:rPr>
        <w:t>Si</w:t>
      </w:r>
      <w:r w:rsidR="00FC5B40" w:rsidRPr="009671A9">
        <w:rPr>
          <w:rFonts w:asciiTheme="majorHAnsi" w:hAnsiTheme="majorHAnsi"/>
          <w:sz w:val="24"/>
          <w:szCs w:val="24"/>
        </w:rPr>
        <w:t xml:space="preserve"> richiama </w:t>
      </w:r>
      <w:r w:rsidR="00FC5B40" w:rsidRPr="009671A9">
        <w:rPr>
          <w:rFonts w:asciiTheme="majorHAnsi" w:hAnsiTheme="majorHAnsi"/>
          <w:b/>
          <w:bCs/>
          <w:sz w:val="24"/>
          <w:szCs w:val="24"/>
        </w:rPr>
        <w:t>la necessità, per far ripartire il Paese, di affidarsi agli ottomila Comuni, dando loro gli strumenti per veicolare l'iniezione di liquidità di cui le famiglie e le imprese più colpite hanno bisogno dopo questo lungo stop e per far ripartire i lavori pubblici locali</w:t>
      </w:r>
      <w:r w:rsidR="00704BED" w:rsidRPr="009671A9">
        <w:rPr>
          <w:rFonts w:asciiTheme="majorHAnsi" w:hAnsiTheme="majorHAnsi"/>
          <w:b/>
          <w:bCs/>
          <w:sz w:val="24"/>
          <w:szCs w:val="24"/>
        </w:rPr>
        <w:t>,</w:t>
      </w:r>
      <w:r w:rsidR="00FC5B40" w:rsidRPr="009671A9">
        <w:rPr>
          <w:rFonts w:asciiTheme="majorHAnsi" w:hAnsiTheme="majorHAnsi"/>
          <w:b/>
          <w:bCs/>
          <w:sz w:val="24"/>
          <w:szCs w:val="24"/>
        </w:rPr>
        <w:t xml:space="preserve"> con procedure semplificate di affidamento e di gestione.</w:t>
      </w:r>
    </w:p>
    <w:p w14:paraId="29122A70" w14:textId="291AD633" w:rsidR="006C51BA" w:rsidRPr="009671A9" w:rsidRDefault="006C51BA" w:rsidP="00124509">
      <w:pPr>
        <w:spacing w:after="80"/>
        <w:jc w:val="both"/>
        <w:rPr>
          <w:rFonts w:asciiTheme="majorHAnsi" w:hAnsiTheme="majorHAnsi"/>
          <w:sz w:val="24"/>
          <w:szCs w:val="24"/>
        </w:rPr>
      </w:pPr>
      <w:r w:rsidRPr="009671A9">
        <w:rPr>
          <w:rFonts w:asciiTheme="majorHAnsi" w:hAnsiTheme="majorHAnsi"/>
          <w:b/>
          <w:bCs/>
          <w:sz w:val="24"/>
          <w:szCs w:val="24"/>
        </w:rPr>
        <w:t xml:space="preserve">Due elementi fondamentali di riflessione spingono i </w:t>
      </w:r>
      <w:r w:rsidR="00124509" w:rsidRPr="009671A9">
        <w:rPr>
          <w:rFonts w:asciiTheme="majorHAnsi" w:hAnsiTheme="majorHAnsi"/>
          <w:b/>
          <w:bCs/>
          <w:sz w:val="24"/>
          <w:szCs w:val="24"/>
        </w:rPr>
        <w:t>S</w:t>
      </w:r>
      <w:r w:rsidRPr="009671A9">
        <w:rPr>
          <w:rFonts w:asciiTheme="majorHAnsi" w:hAnsiTheme="majorHAnsi"/>
          <w:b/>
          <w:bCs/>
          <w:sz w:val="24"/>
          <w:szCs w:val="24"/>
        </w:rPr>
        <w:t>indaci a proporsi come protagonisti del rilancio</w:t>
      </w:r>
      <w:r w:rsidRPr="009671A9">
        <w:rPr>
          <w:rFonts w:asciiTheme="majorHAnsi" w:hAnsiTheme="majorHAnsi"/>
          <w:sz w:val="24"/>
          <w:szCs w:val="24"/>
        </w:rPr>
        <w:t xml:space="preserve">: </w:t>
      </w:r>
    </w:p>
    <w:p w14:paraId="38F2E414" w14:textId="3BE098DD" w:rsidR="006C51BA" w:rsidRPr="009671A9" w:rsidRDefault="006C51BA" w:rsidP="00124509">
      <w:pPr>
        <w:pStyle w:val="Paragrafoelenco"/>
        <w:numPr>
          <w:ilvl w:val="0"/>
          <w:numId w:val="7"/>
        </w:numPr>
        <w:spacing w:after="80"/>
        <w:jc w:val="both"/>
        <w:rPr>
          <w:rFonts w:asciiTheme="majorHAnsi" w:hAnsiTheme="majorHAnsi"/>
          <w:b/>
          <w:bCs/>
          <w:i/>
          <w:iCs/>
          <w:sz w:val="24"/>
          <w:szCs w:val="24"/>
        </w:rPr>
      </w:pPr>
      <w:r w:rsidRPr="009671A9">
        <w:rPr>
          <w:rFonts w:asciiTheme="majorHAnsi" w:hAnsiTheme="majorHAnsi"/>
          <w:b/>
          <w:bCs/>
          <w:i/>
          <w:iCs/>
          <w:sz w:val="24"/>
          <w:szCs w:val="24"/>
        </w:rPr>
        <w:t xml:space="preserve">I </w:t>
      </w:r>
      <w:r w:rsidR="00124509" w:rsidRPr="009671A9">
        <w:rPr>
          <w:rFonts w:asciiTheme="majorHAnsi" w:hAnsiTheme="majorHAnsi"/>
          <w:b/>
          <w:bCs/>
          <w:i/>
          <w:iCs/>
          <w:sz w:val="24"/>
          <w:szCs w:val="24"/>
        </w:rPr>
        <w:t>C</w:t>
      </w:r>
      <w:r w:rsidRPr="009671A9">
        <w:rPr>
          <w:rFonts w:asciiTheme="majorHAnsi" w:hAnsiTheme="majorHAnsi"/>
          <w:b/>
          <w:bCs/>
          <w:i/>
          <w:iCs/>
          <w:sz w:val="24"/>
          <w:szCs w:val="24"/>
        </w:rPr>
        <w:t>omuni sono i principali investitori pubblici</w:t>
      </w:r>
      <w:r w:rsidR="00124509" w:rsidRPr="009671A9">
        <w:rPr>
          <w:rFonts w:asciiTheme="majorHAnsi" w:hAnsiTheme="majorHAnsi"/>
          <w:b/>
          <w:bCs/>
          <w:i/>
          <w:iCs/>
          <w:sz w:val="24"/>
          <w:szCs w:val="24"/>
        </w:rPr>
        <w:t>, con una capacità di gran lunga superiore agli altri livelli di governo.</w:t>
      </w:r>
    </w:p>
    <w:p w14:paraId="5924A17D" w14:textId="65868769" w:rsidR="006C51BA" w:rsidRPr="009671A9" w:rsidRDefault="006C51BA" w:rsidP="00124509">
      <w:pPr>
        <w:pStyle w:val="Paragrafoelenco"/>
        <w:numPr>
          <w:ilvl w:val="0"/>
          <w:numId w:val="7"/>
        </w:numPr>
        <w:spacing w:after="80"/>
        <w:jc w:val="both"/>
        <w:rPr>
          <w:rFonts w:asciiTheme="majorHAnsi" w:hAnsiTheme="majorHAnsi"/>
          <w:sz w:val="24"/>
          <w:szCs w:val="24"/>
        </w:rPr>
      </w:pPr>
      <w:r w:rsidRPr="009671A9">
        <w:rPr>
          <w:rFonts w:asciiTheme="majorHAnsi" w:hAnsiTheme="majorHAnsi"/>
          <w:b/>
          <w:bCs/>
          <w:i/>
          <w:iCs/>
          <w:sz w:val="24"/>
          <w:szCs w:val="24"/>
        </w:rPr>
        <w:t xml:space="preserve">I settori di riforma e di sviluppo individuati dalla Commissione europea </w:t>
      </w:r>
      <w:r w:rsidR="004B3D55" w:rsidRPr="009671A9">
        <w:rPr>
          <w:rFonts w:asciiTheme="majorHAnsi" w:hAnsiTheme="majorHAnsi"/>
          <w:b/>
          <w:bCs/>
          <w:i/>
          <w:iCs/>
          <w:sz w:val="24"/>
          <w:szCs w:val="24"/>
        </w:rPr>
        <w:t xml:space="preserve">( investimenti per la sostenibilità, </w:t>
      </w:r>
      <w:r w:rsidR="000825D7" w:rsidRPr="009671A9">
        <w:rPr>
          <w:rFonts w:asciiTheme="majorHAnsi" w:hAnsiTheme="majorHAnsi"/>
          <w:b/>
          <w:bCs/>
          <w:i/>
          <w:iCs/>
          <w:sz w:val="24"/>
          <w:szCs w:val="24"/>
        </w:rPr>
        <w:t xml:space="preserve">trasformazione </w:t>
      </w:r>
      <w:r w:rsidR="004B3D55" w:rsidRPr="009671A9">
        <w:rPr>
          <w:rFonts w:asciiTheme="majorHAnsi" w:hAnsiTheme="majorHAnsi"/>
          <w:b/>
          <w:bCs/>
          <w:i/>
          <w:iCs/>
          <w:sz w:val="24"/>
          <w:szCs w:val="24"/>
        </w:rPr>
        <w:t>digitale e contrasto alla povertà) riguardano</w:t>
      </w:r>
      <w:r w:rsidR="00124509" w:rsidRPr="009671A9">
        <w:rPr>
          <w:rFonts w:asciiTheme="majorHAnsi" w:hAnsiTheme="majorHAnsi"/>
          <w:b/>
          <w:bCs/>
          <w:i/>
          <w:iCs/>
          <w:sz w:val="24"/>
          <w:szCs w:val="24"/>
        </w:rPr>
        <w:t xml:space="preserve"> strettamente </w:t>
      </w:r>
      <w:r w:rsidR="004B3D55" w:rsidRPr="009671A9">
        <w:rPr>
          <w:rFonts w:asciiTheme="majorHAnsi" w:hAnsiTheme="majorHAnsi"/>
          <w:b/>
          <w:bCs/>
          <w:i/>
          <w:iCs/>
          <w:sz w:val="24"/>
          <w:szCs w:val="24"/>
        </w:rPr>
        <w:t xml:space="preserve"> gli ambiti di azione propri dei Comuni e delle Città  e i processi di governo e trasformazione urbana</w:t>
      </w:r>
      <w:r w:rsidR="004B3D55" w:rsidRPr="009671A9">
        <w:rPr>
          <w:rFonts w:asciiTheme="majorHAnsi" w:hAnsiTheme="majorHAnsi"/>
          <w:sz w:val="24"/>
          <w:szCs w:val="24"/>
        </w:rPr>
        <w:t xml:space="preserve">. </w:t>
      </w:r>
    </w:p>
    <w:p w14:paraId="6D542A86" w14:textId="77777777" w:rsidR="0082758F" w:rsidRPr="009671A9" w:rsidRDefault="0082758F" w:rsidP="00124509">
      <w:pPr>
        <w:spacing w:after="80"/>
        <w:jc w:val="both"/>
        <w:rPr>
          <w:rFonts w:asciiTheme="majorHAnsi" w:hAnsiTheme="majorHAnsi"/>
          <w:sz w:val="24"/>
          <w:szCs w:val="24"/>
        </w:rPr>
      </w:pPr>
    </w:p>
    <w:p w14:paraId="0A9C969F" w14:textId="77777777" w:rsidR="00124509" w:rsidRPr="009671A9" w:rsidRDefault="00124509" w:rsidP="00124509">
      <w:pPr>
        <w:spacing w:after="80"/>
        <w:jc w:val="both"/>
        <w:rPr>
          <w:rFonts w:asciiTheme="majorHAnsi" w:hAnsiTheme="majorHAnsi"/>
          <w:b/>
          <w:bCs/>
          <w:i/>
          <w:iCs/>
          <w:sz w:val="24"/>
          <w:szCs w:val="24"/>
        </w:rPr>
      </w:pPr>
    </w:p>
    <w:p w14:paraId="50F04905" w14:textId="0B8D141A" w:rsidR="0082758F" w:rsidRPr="009671A9" w:rsidRDefault="00880BB3" w:rsidP="00EE4148">
      <w:pPr>
        <w:pStyle w:val="Paragrafoelenco"/>
        <w:numPr>
          <w:ilvl w:val="0"/>
          <w:numId w:val="8"/>
        </w:numPr>
        <w:spacing w:after="80"/>
        <w:jc w:val="both"/>
        <w:rPr>
          <w:rFonts w:asciiTheme="majorHAnsi" w:hAnsiTheme="majorHAnsi"/>
          <w:b/>
          <w:bCs/>
          <w:i/>
          <w:iCs/>
          <w:sz w:val="24"/>
          <w:szCs w:val="24"/>
        </w:rPr>
      </w:pPr>
      <w:r w:rsidRPr="009671A9">
        <w:rPr>
          <w:rFonts w:asciiTheme="majorHAnsi" w:hAnsiTheme="majorHAnsi"/>
          <w:b/>
          <w:bCs/>
          <w:i/>
          <w:iCs/>
          <w:sz w:val="24"/>
          <w:szCs w:val="24"/>
        </w:rPr>
        <w:t xml:space="preserve">I COMUNI E LE </w:t>
      </w:r>
      <w:r w:rsidR="00A96674" w:rsidRPr="009671A9">
        <w:rPr>
          <w:rFonts w:asciiTheme="majorHAnsi" w:hAnsiTheme="majorHAnsi"/>
          <w:b/>
          <w:bCs/>
          <w:i/>
          <w:iCs/>
          <w:sz w:val="24"/>
          <w:szCs w:val="24"/>
        </w:rPr>
        <w:t xml:space="preserve">CITTÀ SONO I </w:t>
      </w:r>
      <w:r w:rsidRPr="009671A9">
        <w:rPr>
          <w:rFonts w:asciiTheme="majorHAnsi" w:hAnsiTheme="majorHAnsi"/>
          <w:b/>
          <w:bCs/>
          <w:i/>
          <w:iCs/>
          <w:sz w:val="24"/>
          <w:szCs w:val="24"/>
        </w:rPr>
        <w:t>PRINCIPALI INVESTITORI PUBBLICI. RIPARTIAMO DA LORO.</w:t>
      </w:r>
    </w:p>
    <w:p w14:paraId="5E6ED849" w14:textId="7C857377" w:rsidR="00A96674" w:rsidRPr="009671A9" w:rsidRDefault="0082758F" w:rsidP="00124509">
      <w:pPr>
        <w:spacing w:after="80"/>
        <w:jc w:val="both"/>
        <w:rPr>
          <w:rFonts w:asciiTheme="majorHAnsi" w:hAnsiTheme="majorHAnsi"/>
          <w:sz w:val="24"/>
          <w:szCs w:val="24"/>
        </w:rPr>
      </w:pPr>
      <w:r w:rsidRPr="009671A9">
        <w:rPr>
          <w:rFonts w:asciiTheme="majorHAnsi" w:hAnsiTheme="majorHAnsi"/>
          <w:sz w:val="24"/>
          <w:szCs w:val="24"/>
        </w:rPr>
        <w:t>Nel Rapporto della Presidenza del Consiglio dei Ministri “L’Italia e la risposta al Covid-19” aprile 2020</w:t>
      </w:r>
      <w:r w:rsidR="00880BB3" w:rsidRPr="009671A9">
        <w:rPr>
          <w:rFonts w:asciiTheme="majorHAnsi" w:hAnsiTheme="majorHAnsi"/>
          <w:sz w:val="24"/>
          <w:szCs w:val="24"/>
        </w:rPr>
        <w:t>, si riporta il ruolo fondamentale dei Comuni e delle Città nell’ambito degli investimenti pubblici.</w:t>
      </w:r>
      <w:r w:rsidR="00A96674" w:rsidRPr="009671A9">
        <w:rPr>
          <w:rFonts w:asciiTheme="majorHAnsi" w:hAnsiTheme="majorHAnsi"/>
          <w:sz w:val="24"/>
          <w:szCs w:val="24"/>
        </w:rPr>
        <w:t xml:space="preserve"> La </w:t>
      </w:r>
      <w:r w:rsidRPr="009671A9">
        <w:rPr>
          <w:rFonts w:asciiTheme="majorHAnsi" w:hAnsiTheme="majorHAnsi"/>
          <w:sz w:val="24"/>
          <w:szCs w:val="24"/>
        </w:rPr>
        <w:t xml:space="preserve">tabella </w:t>
      </w:r>
      <w:r w:rsidR="00A96674" w:rsidRPr="009671A9">
        <w:rPr>
          <w:rFonts w:asciiTheme="majorHAnsi" w:hAnsiTheme="majorHAnsi"/>
          <w:sz w:val="24"/>
          <w:szCs w:val="24"/>
        </w:rPr>
        <w:t xml:space="preserve">tratta dal Rapporto dà il </w:t>
      </w:r>
      <w:r w:rsidRPr="009671A9">
        <w:rPr>
          <w:rFonts w:asciiTheme="majorHAnsi" w:hAnsiTheme="majorHAnsi"/>
          <w:sz w:val="24"/>
          <w:szCs w:val="24"/>
        </w:rPr>
        <w:t xml:space="preserve">quadro </w:t>
      </w:r>
      <w:r w:rsidR="006C51BA" w:rsidRPr="009671A9">
        <w:rPr>
          <w:rFonts w:asciiTheme="majorHAnsi" w:hAnsiTheme="majorHAnsi"/>
          <w:sz w:val="24"/>
          <w:szCs w:val="24"/>
        </w:rPr>
        <w:t>m</w:t>
      </w:r>
      <w:r w:rsidRPr="009671A9">
        <w:rPr>
          <w:rFonts w:asciiTheme="majorHAnsi" w:hAnsiTheme="majorHAnsi"/>
          <w:sz w:val="24"/>
          <w:szCs w:val="24"/>
        </w:rPr>
        <w:t>acro dei principali investitori del Paese</w:t>
      </w:r>
      <w:r w:rsidR="00A96674" w:rsidRPr="009671A9">
        <w:rPr>
          <w:rFonts w:asciiTheme="majorHAnsi" w:hAnsiTheme="majorHAnsi"/>
          <w:sz w:val="24"/>
          <w:szCs w:val="24"/>
        </w:rPr>
        <w:t>,</w:t>
      </w:r>
      <w:r w:rsidRPr="009671A9">
        <w:rPr>
          <w:rFonts w:asciiTheme="majorHAnsi" w:hAnsiTheme="majorHAnsi"/>
          <w:sz w:val="24"/>
          <w:szCs w:val="24"/>
        </w:rPr>
        <w:t xml:space="preserve"> con </w:t>
      </w:r>
      <w:r w:rsidR="00DB7E56" w:rsidRPr="009671A9">
        <w:rPr>
          <w:rFonts w:asciiTheme="majorHAnsi" w:hAnsiTheme="majorHAnsi"/>
          <w:sz w:val="24"/>
          <w:szCs w:val="24"/>
        </w:rPr>
        <w:t xml:space="preserve">la </w:t>
      </w:r>
      <w:r w:rsidRPr="009671A9">
        <w:rPr>
          <w:rFonts w:asciiTheme="majorHAnsi" w:hAnsiTheme="majorHAnsi"/>
          <w:sz w:val="24"/>
          <w:szCs w:val="24"/>
        </w:rPr>
        <w:t xml:space="preserve">chiara ed inequivoca prevalenza </w:t>
      </w:r>
      <w:r w:rsidR="00A96674" w:rsidRPr="009671A9">
        <w:rPr>
          <w:rFonts w:asciiTheme="majorHAnsi" w:hAnsiTheme="majorHAnsi"/>
          <w:sz w:val="24"/>
          <w:szCs w:val="24"/>
        </w:rPr>
        <w:t xml:space="preserve">dei </w:t>
      </w:r>
      <w:r w:rsidRPr="009671A9">
        <w:rPr>
          <w:rFonts w:asciiTheme="majorHAnsi" w:hAnsiTheme="majorHAnsi"/>
          <w:sz w:val="24"/>
          <w:szCs w:val="24"/>
        </w:rPr>
        <w:t xml:space="preserve">Comuni e </w:t>
      </w:r>
      <w:r w:rsidR="00A96674" w:rsidRPr="009671A9">
        <w:rPr>
          <w:rFonts w:asciiTheme="majorHAnsi" w:hAnsiTheme="majorHAnsi"/>
          <w:sz w:val="24"/>
          <w:szCs w:val="24"/>
        </w:rPr>
        <w:t xml:space="preserve">delle </w:t>
      </w:r>
      <w:r w:rsidRPr="009671A9">
        <w:rPr>
          <w:rFonts w:asciiTheme="majorHAnsi" w:hAnsiTheme="majorHAnsi"/>
          <w:sz w:val="24"/>
          <w:szCs w:val="24"/>
        </w:rPr>
        <w:t>Città.</w:t>
      </w:r>
      <w:r w:rsidR="00A96674" w:rsidRPr="009671A9">
        <w:rPr>
          <w:rFonts w:asciiTheme="majorHAnsi" w:hAnsiTheme="majorHAnsi"/>
          <w:sz w:val="24"/>
          <w:szCs w:val="24"/>
        </w:rPr>
        <w:t xml:space="preserve"> </w:t>
      </w:r>
    </w:p>
    <w:p w14:paraId="5D6C5C48" w14:textId="1D8C6374" w:rsidR="00FC5B40" w:rsidRPr="009671A9" w:rsidRDefault="00A96674" w:rsidP="00124509">
      <w:pPr>
        <w:spacing w:after="80"/>
        <w:jc w:val="both"/>
        <w:rPr>
          <w:rFonts w:asciiTheme="majorHAnsi" w:hAnsiTheme="majorHAnsi"/>
          <w:sz w:val="24"/>
          <w:szCs w:val="24"/>
        </w:rPr>
      </w:pPr>
      <w:r w:rsidRPr="009671A9">
        <w:rPr>
          <w:rFonts w:asciiTheme="majorHAnsi" w:hAnsiTheme="majorHAnsi"/>
          <w:sz w:val="24"/>
          <w:szCs w:val="24"/>
        </w:rPr>
        <w:t xml:space="preserve">Nel 2019, un quarto delle opere pubbliche viene realizzato dai Comuni, ben oltre il 19% degli investitori privati, superati soltanto dal settore ferroviario (38%). Gli investimenti comunali sono anche garanzia di ampia diffusione delle opere nelle diverse economie territoriali e concorrono alla soluzione di problematiche di immediato rilievo nazionale, connesse alle infrastrutture delle grandi aree urbane, sedi attrattive di innovazione, competenze e ricerca e – al tempo stesso – luoghi di emersione di nuova disuguaglianza e marginalità sociale. </w:t>
      </w:r>
    </w:p>
    <w:p w14:paraId="211D2859" w14:textId="77777777" w:rsidR="0082758F" w:rsidRPr="009671A9" w:rsidRDefault="0082758F" w:rsidP="00124509">
      <w:pPr>
        <w:spacing w:after="80"/>
        <w:jc w:val="both"/>
        <w:rPr>
          <w:rFonts w:asciiTheme="majorHAnsi" w:hAnsiTheme="majorHAnsi"/>
          <w:b/>
          <w:bCs/>
          <w:color w:val="365F91" w:themeColor="accent1" w:themeShade="BF"/>
          <w:sz w:val="24"/>
          <w:szCs w:val="24"/>
        </w:rPr>
      </w:pPr>
      <w:r w:rsidRPr="009671A9">
        <w:rPr>
          <w:rFonts w:asciiTheme="majorHAnsi" w:eastAsia="Times New Roman" w:hAnsiTheme="majorHAnsi"/>
          <w:noProof/>
          <w:sz w:val="24"/>
          <w:szCs w:val="24"/>
          <w:lang w:eastAsia="it-IT"/>
        </w:rPr>
        <w:lastRenderedPageBreak/>
        <w:drawing>
          <wp:inline distT="0" distB="0" distL="0" distR="0" wp14:anchorId="5C885825" wp14:editId="75AA666B">
            <wp:extent cx="5581650" cy="7105650"/>
            <wp:effectExtent l="0" t="0" r="0" b="0"/>
            <wp:docPr id="17" name="id-63B625B7-55BF-4A87-9DF4-A1BBDD760834"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63B625B7-55BF-4A87-9DF4-A1BBDD760834" descr="Image.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581650" cy="7105650"/>
                    </a:xfrm>
                    <a:prstGeom prst="rect">
                      <a:avLst/>
                    </a:prstGeom>
                    <a:noFill/>
                    <a:ln>
                      <a:noFill/>
                    </a:ln>
                  </pic:spPr>
                </pic:pic>
              </a:graphicData>
            </a:graphic>
          </wp:inline>
        </w:drawing>
      </w:r>
    </w:p>
    <w:p w14:paraId="76A1B146" w14:textId="60D2A2FD" w:rsidR="002C47F7" w:rsidRPr="009671A9" w:rsidRDefault="00880BB3" w:rsidP="00124509">
      <w:pPr>
        <w:spacing w:after="80"/>
        <w:jc w:val="both"/>
        <w:rPr>
          <w:rFonts w:asciiTheme="majorHAnsi" w:hAnsiTheme="majorHAnsi"/>
          <w:sz w:val="24"/>
          <w:szCs w:val="24"/>
        </w:rPr>
      </w:pPr>
      <w:r w:rsidRPr="009671A9">
        <w:rPr>
          <w:rFonts w:asciiTheme="majorHAnsi" w:hAnsiTheme="majorHAnsi"/>
          <w:sz w:val="24"/>
          <w:szCs w:val="24"/>
        </w:rPr>
        <w:t xml:space="preserve">Questo dato generale evidenzia che </w:t>
      </w:r>
      <w:r w:rsidRPr="009671A9">
        <w:rPr>
          <w:rFonts w:asciiTheme="majorHAnsi" w:hAnsiTheme="majorHAnsi"/>
          <w:b/>
          <w:bCs/>
          <w:sz w:val="24"/>
          <w:szCs w:val="24"/>
          <w:u w:val="single"/>
        </w:rPr>
        <w:t>la capacità di resa in termini di spesa in conto capitale dei Comuni e delle Città è superiore agli altri livelli di governo</w:t>
      </w:r>
      <w:r w:rsidRPr="009671A9">
        <w:rPr>
          <w:rFonts w:asciiTheme="majorHAnsi" w:hAnsiTheme="majorHAnsi"/>
          <w:sz w:val="24"/>
          <w:szCs w:val="24"/>
        </w:rPr>
        <w:t>, nonostante i persistenti e numerosi vincoli di varia natura.</w:t>
      </w:r>
    </w:p>
    <w:p w14:paraId="341ACD8E" w14:textId="0BC3A10D" w:rsidR="00880BB3" w:rsidRPr="009671A9" w:rsidRDefault="00880BB3" w:rsidP="00124509">
      <w:pPr>
        <w:spacing w:after="80"/>
        <w:jc w:val="both"/>
        <w:rPr>
          <w:rFonts w:asciiTheme="majorHAnsi" w:hAnsiTheme="majorHAnsi"/>
          <w:sz w:val="24"/>
          <w:szCs w:val="24"/>
        </w:rPr>
      </w:pPr>
      <w:r w:rsidRPr="009671A9">
        <w:rPr>
          <w:rFonts w:asciiTheme="majorHAnsi" w:hAnsiTheme="majorHAnsi"/>
          <w:sz w:val="24"/>
          <w:szCs w:val="24"/>
        </w:rPr>
        <w:t xml:space="preserve">Ed è per questo </w:t>
      </w:r>
      <w:r w:rsidR="00A96674" w:rsidRPr="009671A9">
        <w:rPr>
          <w:rFonts w:asciiTheme="majorHAnsi" w:hAnsiTheme="majorHAnsi"/>
          <w:sz w:val="24"/>
          <w:szCs w:val="24"/>
        </w:rPr>
        <w:t xml:space="preserve">–  </w:t>
      </w:r>
      <w:r w:rsidRPr="009671A9">
        <w:rPr>
          <w:rFonts w:asciiTheme="majorHAnsi" w:hAnsiTheme="majorHAnsi"/>
          <w:sz w:val="24"/>
          <w:szCs w:val="24"/>
        </w:rPr>
        <w:t xml:space="preserve">e non solo </w:t>
      </w:r>
      <w:r w:rsidR="00A96674" w:rsidRPr="009671A9">
        <w:rPr>
          <w:rFonts w:asciiTheme="majorHAnsi" w:hAnsiTheme="majorHAnsi"/>
          <w:sz w:val="24"/>
          <w:szCs w:val="24"/>
        </w:rPr>
        <w:t xml:space="preserve">– </w:t>
      </w:r>
      <w:r w:rsidRPr="009671A9">
        <w:rPr>
          <w:rFonts w:asciiTheme="majorHAnsi" w:hAnsiTheme="majorHAnsi"/>
          <w:sz w:val="24"/>
          <w:szCs w:val="24"/>
        </w:rPr>
        <w:t>che bisogna puntare subito</w:t>
      </w:r>
      <w:r w:rsidR="00B679E6" w:rsidRPr="009671A9">
        <w:rPr>
          <w:rFonts w:asciiTheme="majorHAnsi" w:hAnsiTheme="majorHAnsi"/>
          <w:sz w:val="24"/>
          <w:szCs w:val="24"/>
        </w:rPr>
        <w:t>,</w:t>
      </w:r>
      <w:r w:rsidRPr="009671A9">
        <w:rPr>
          <w:rFonts w:asciiTheme="majorHAnsi" w:hAnsiTheme="majorHAnsi"/>
          <w:sz w:val="24"/>
          <w:szCs w:val="24"/>
        </w:rPr>
        <w:t xml:space="preserve"> </w:t>
      </w:r>
      <w:r w:rsidR="006C51BA" w:rsidRPr="009671A9">
        <w:rPr>
          <w:rFonts w:asciiTheme="majorHAnsi" w:hAnsiTheme="majorHAnsi"/>
          <w:sz w:val="24"/>
          <w:szCs w:val="24"/>
        </w:rPr>
        <w:t>da qui</w:t>
      </w:r>
      <w:r w:rsidR="00B679E6" w:rsidRPr="009671A9">
        <w:rPr>
          <w:rFonts w:asciiTheme="majorHAnsi" w:hAnsiTheme="majorHAnsi"/>
          <w:sz w:val="24"/>
          <w:szCs w:val="24"/>
        </w:rPr>
        <w:t>,</w:t>
      </w:r>
      <w:r w:rsidR="006C51BA" w:rsidRPr="009671A9">
        <w:rPr>
          <w:rFonts w:asciiTheme="majorHAnsi" w:hAnsiTheme="majorHAnsi"/>
          <w:sz w:val="24"/>
          <w:szCs w:val="24"/>
        </w:rPr>
        <w:t xml:space="preserve"> con decisioni </w:t>
      </w:r>
      <w:r w:rsidR="00A96674" w:rsidRPr="009671A9">
        <w:rPr>
          <w:rFonts w:asciiTheme="majorHAnsi" w:hAnsiTheme="majorHAnsi"/>
          <w:sz w:val="24"/>
          <w:szCs w:val="24"/>
        </w:rPr>
        <w:t xml:space="preserve">coraggiose </w:t>
      </w:r>
      <w:r w:rsidR="006C51BA" w:rsidRPr="009671A9">
        <w:rPr>
          <w:rFonts w:asciiTheme="majorHAnsi" w:hAnsiTheme="majorHAnsi"/>
          <w:sz w:val="24"/>
          <w:szCs w:val="24"/>
        </w:rPr>
        <w:t>e puntuali</w:t>
      </w:r>
      <w:r w:rsidR="00B679E6" w:rsidRPr="009671A9">
        <w:rPr>
          <w:rFonts w:asciiTheme="majorHAnsi" w:hAnsiTheme="majorHAnsi"/>
          <w:sz w:val="24"/>
          <w:szCs w:val="24"/>
        </w:rPr>
        <w:t xml:space="preserve"> ad una strategia di</w:t>
      </w:r>
      <w:r w:rsidR="006C51BA" w:rsidRPr="009671A9">
        <w:rPr>
          <w:rFonts w:asciiTheme="majorHAnsi" w:hAnsiTheme="majorHAnsi"/>
          <w:sz w:val="24"/>
          <w:szCs w:val="24"/>
        </w:rPr>
        <w:t>:</w:t>
      </w:r>
    </w:p>
    <w:p w14:paraId="034C95A2" w14:textId="77777777" w:rsidR="006C51BA" w:rsidRPr="009671A9" w:rsidRDefault="00B679E6" w:rsidP="00124509">
      <w:pPr>
        <w:pStyle w:val="Paragrafoelenco"/>
        <w:numPr>
          <w:ilvl w:val="0"/>
          <w:numId w:val="6"/>
        </w:numPr>
        <w:spacing w:after="80"/>
        <w:jc w:val="both"/>
        <w:rPr>
          <w:rFonts w:asciiTheme="majorHAnsi" w:hAnsiTheme="majorHAnsi"/>
          <w:sz w:val="24"/>
          <w:szCs w:val="24"/>
        </w:rPr>
      </w:pPr>
      <w:r w:rsidRPr="009671A9">
        <w:rPr>
          <w:rFonts w:asciiTheme="majorHAnsi" w:hAnsiTheme="majorHAnsi"/>
          <w:b/>
          <w:bCs/>
          <w:sz w:val="24"/>
          <w:szCs w:val="24"/>
        </w:rPr>
        <w:t xml:space="preserve">finanziamenti </w:t>
      </w:r>
      <w:r w:rsidR="006C51BA" w:rsidRPr="009671A9">
        <w:rPr>
          <w:rFonts w:asciiTheme="majorHAnsi" w:hAnsiTheme="majorHAnsi"/>
          <w:b/>
          <w:bCs/>
          <w:sz w:val="24"/>
          <w:szCs w:val="24"/>
        </w:rPr>
        <w:t>diretti e non intermediati</w:t>
      </w:r>
      <w:r w:rsidR="006C51BA" w:rsidRPr="009671A9">
        <w:rPr>
          <w:rFonts w:asciiTheme="majorHAnsi" w:hAnsiTheme="majorHAnsi"/>
          <w:sz w:val="24"/>
          <w:szCs w:val="24"/>
        </w:rPr>
        <w:t xml:space="preserve"> a sostegno di interventi relativi ai tre settori individuati dalla Commissione europea.</w:t>
      </w:r>
    </w:p>
    <w:p w14:paraId="2C15218C" w14:textId="485FF9FF" w:rsidR="006C51BA" w:rsidRPr="009671A9" w:rsidRDefault="00B679E6" w:rsidP="00124509">
      <w:pPr>
        <w:pStyle w:val="Paragrafoelenco"/>
        <w:numPr>
          <w:ilvl w:val="0"/>
          <w:numId w:val="6"/>
        </w:numPr>
        <w:spacing w:after="80"/>
        <w:jc w:val="both"/>
        <w:rPr>
          <w:rFonts w:asciiTheme="majorHAnsi" w:hAnsiTheme="majorHAnsi"/>
          <w:sz w:val="24"/>
          <w:szCs w:val="24"/>
        </w:rPr>
      </w:pPr>
      <w:r w:rsidRPr="009671A9">
        <w:rPr>
          <w:rFonts w:asciiTheme="majorHAnsi" w:hAnsiTheme="majorHAnsi"/>
          <w:b/>
          <w:bCs/>
          <w:sz w:val="24"/>
          <w:szCs w:val="24"/>
        </w:rPr>
        <w:t xml:space="preserve">riduzione </w:t>
      </w:r>
      <w:r w:rsidR="006C51BA" w:rsidRPr="009671A9">
        <w:rPr>
          <w:rFonts w:asciiTheme="majorHAnsi" w:hAnsiTheme="majorHAnsi"/>
          <w:b/>
          <w:bCs/>
          <w:sz w:val="24"/>
          <w:szCs w:val="24"/>
        </w:rPr>
        <w:t>al minimo dei passaggi formali e burocratici</w:t>
      </w:r>
      <w:r w:rsidR="006C51BA" w:rsidRPr="009671A9">
        <w:rPr>
          <w:rFonts w:asciiTheme="majorHAnsi" w:hAnsiTheme="majorHAnsi"/>
          <w:sz w:val="24"/>
          <w:szCs w:val="24"/>
        </w:rPr>
        <w:t xml:space="preserve"> per l’individuazione ed erogazione dei finanziamenti</w:t>
      </w:r>
      <w:r w:rsidR="00124509" w:rsidRPr="009671A9">
        <w:rPr>
          <w:rFonts w:asciiTheme="majorHAnsi" w:hAnsiTheme="majorHAnsi"/>
          <w:sz w:val="24"/>
          <w:szCs w:val="24"/>
        </w:rPr>
        <w:t xml:space="preserve">  (troppi anni in attesa del perfezionamento dei vari </w:t>
      </w:r>
      <w:r w:rsidR="00124509" w:rsidRPr="009671A9">
        <w:rPr>
          <w:rFonts w:asciiTheme="majorHAnsi" w:hAnsiTheme="majorHAnsi"/>
          <w:sz w:val="24"/>
          <w:szCs w:val="24"/>
        </w:rPr>
        <w:lastRenderedPageBreak/>
        <w:t>passaggi burocratici prima dell’erogazione del finanziamento ai beneficiari)</w:t>
      </w:r>
      <w:r w:rsidR="000B0220" w:rsidRPr="009671A9">
        <w:rPr>
          <w:rFonts w:asciiTheme="majorHAnsi" w:hAnsiTheme="majorHAnsi"/>
          <w:sz w:val="24"/>
          <w:szCs w:val="24"/>
        </w:rPr>
        <w:t xml:space="preserve">. </w:t>
      </w:r>
      <w:r w:rsidR="000B0220" w:rsidRPr="009671A9">
        <w:rPr>
          <w:rFonts w:asciiTheme="majorHAnsi" w:hAnsiTheme="majorHAnsi"/>
          <w:sz w:val="24"/>
          <w:szCs w:val="24"/>
          <w:u w:val="single"/>
        </w:rPr>
        <w:t>Su questo serve una assunzione maggiore di responsabilità da parte di tutti, istituzioni, organi politici, amministrativi e di controllo affinchè l’obiettivo della efficienza della capacità di spesa per lo sviluppo diventi  elemento comune di azione.</w:t>
      </w:r>
      <w:r w:rsidR="000B0220" w:rsidRPr="009671A9">
        <w:rPr>
          <w:rFonts w:asciiTheme="majorHAnsi" w:hAnsiTheme="majorHAnsi"/>
          <w:sz w:val="24"/>
          <w:szCs w:val="24"/>
        </w:rPr>
        <w:t xml:space="preserve"> Purtroppo sinora non e stato così.</w:t>
      </w:r>
    </w:p>
    <w:p w14:paraId="41B4CC75" w14:textId="77777777" w:rsidR="006C51BA" w:rsidRPr="009671A9" w:rsidRDefault="006C51BA" w:rsidP="00124509">
      <w:pPr>
        <w:pStyle w:val="Paragrafoelenco"/>
        <w:numPr>
          <w:ilvl w:val="0"/>
          <w:numId w:val="6"/>
        </w:numPr>
        <w:spacing w:after="80"/>
        <w:jc w:val="both"/>
        <w:rPr>
          <w:rFonts w:asciiTheme="majorHAnsi" w:hAnsiTheme="majorHAnsi"/>
          <w:sz w:val="24"/>
          <w:szCs w:val="24"/>
        </w:rPr>
      </w:pPr>
      <w:r w:rsidRPr="009671A9">
        <w:rPr>
          <w:rFonts w:asciiTheme="majorHAnsi" w:hAnsiTheme="majorHAnsi"/>
          <w:b/>
          <w:bCs/>
          <w:sz w:val="24"/>
          <w:szCs w:val="24"/>
        </w:rPr>
        <w:t>Revisione trimestrale</w:t>
      </w:r>
      <w:r w:rsidRPr="009671A9">
        <w:rPr>
          <w:rFonts w:asciiTheme="majorHAnsi" w:hAnsiTheme="majorHAnsi"/>
          <w:sz w:val="24"/>
          <w:szCs w:val="24"/>
        </w:rPr>
        <w:t xml:space="preserve"> dell’andamento delle misure di investimento, </w:t>
      </w:r>
      <w:r w:rsidRPr="009671A9">
        <w:rPr>
          <w:rFonts w:asciiTheme="majorHAnsi" w:hAnsiTheme="majorHAnsi"/>
          <w:b/>
          <w:bCs/>
          <w:sz w:val="24"/>
          <w:szCs w:val="24"/>
        </w:rPr>
        <w:t>con la possibilità di avocazione</w:t>
      </w:r>
      <w:r w:rsidRPr="009671A9">
        <w:rPr>
          <w:rFonts w:asciiTheme="majorHAnsi" w:hAnsiTheme="majorHAnsi"/>
          <w:sz w:val="24"/>
          <w:szCs w:val="24"/>
        </w:rPr>
        <w:t xml:space="preserve"> in caso di ritardi.</w:t>
      </w:r>
    </w:p>
    <w:p w14:paraId="501471C1" w14:textId="10C8093E" w:rsidR="006C51BA" w:rsidRPr="009671A9" w:rsidRDefault="006C51BA" w:rsidP="00124509">
      <w:pPr>
        <w:pStyle w:val="Paragrafoelenco"/>
        <w:numPr>
          <w:ilvl w:val="0"/>
          <w:numId w:val="6"/>
        </w:numPr>
        <w:spacing w:after="80"/>
        <w:jc w:val="both"/>
        <w:rPr>
          <w:rFonts w:asciiTheme="majorHAnsi" w:hAnsiTheme="majorHAnsi"/>
          <w:sz w:val="24"/>
          <w:szCs w:val="24"/>
        </w:rPr>
      </w:pPr>
      <w:r w:rsidRPr="009671A9">
        <w:rPr>
          <w:rFonts w:asciiTheme="majorHAnsi" w:hAnsiTheme="majorHAnsi"/>
          <w:sz w:val="24"/>
          <w:szCs w:val="24"/>
        </w:rPr>
        <w:t xml:space="preserve">Previsione di un </w:t>
      </w:r>
      <w:r w:rsidRPr="009671A9">
        <w:rPr>
          <w:rFonts w:asciiTheme="majorHAnsi" w:hAnsiTheme="majorHAnsi"/>
          <w:b/>
          <w:bCs/>
          <w:sz w:val="24"/>
          <w:szCs w:val="24"/>
        </w:rPr>
        <w:t>organismo tecnico di coordinamento</w:t>
      </w:r>
      <w:r w:rsidRPr="009671A9">
        <w:rPr>
          <w:rFonts w:asciiTheme="majorHAnsi" w:hAnsiTheme="majorHAnsi"/>
          <w:sz w:val="24"/>
          <w:szCs w:val="24"/>
        </w:rPr>
        <w:t xml:space="preserve"> stretto delle misure che monitori l’andamento della loro attuazione</w:t>
      </w:r>
      <w:r w:rsidR="000825D7" w:rsidRPr="009671A9">
        <w:rPr>
          <w:rFonts w:asciiTheme="majorHAnsi" w:hAnsiTheme="majorHAnsi"/>
          <w:sz w:val="24"/>
          <w:szCs w:val="24"/>
        </w:rPr>
        <w:t xml:space="preserve">, con rappresentanti dei </w:t>
      </w:r>
      <w:r w:rsidR="00CE24BD" w:rsidRPr="009671A9">
        <w:rPr>
          <w:rFonts w:asciiTheme="majorHAnsi" w:hAnsiTheme="majorHAnsi"/>
          <w:sz w:val="24"/>
          <w:szCs w:val="24"/>
        </w:rPr>
        <w:t>Ministeri, delle Regioni, dell’ANCI e dell’UPI coordinato dalla Presidenza del Consiglio dei Ministri</w:t>
      </w:r>
      <w:r w:rsidRPr="009671A9">
        <w:rPr>
          <w:rFonts w:asciiTheme="majorHAnsi" w:hAnsiTheme="majorHAnsi"/>
          <w:sz w:val="24"/>
          <w:szCs w:val="24"/>
        </w:rPr>
        <w:t>.</w:t>
      </w:r>
    </w:p>
    <w:p w14:paraId="74A53A55" w14:textId="7A9B1958" w:rsidR="006C51BA" w:rsidRPr="009671A9" w:rsidRDefault="006C51BA" w:rsidP="00124509">
      <w:pPr>
        <w:spacing w:after="80" w:line="252" w:lineRule="auto"/>
        <w:jc w:val="both"/>
        <w:rPr>
          <w:rFonts w:asciiTheme="majorHAnsi" w:eastAsia="Bookman Old Style" w:hAnsiTheme="majorHAnsi" w:cs="Bookman Old Style"/>
          <w:sz w:val="24"/>
          <w:szCs w:val="24"/>
        </w:rPr>
      </w:pPr>
      <w:r w:rsidRPr="009671A9">
        <w:rPr>
          <w:rFonts w:asciiTheme="majorHAnsi" w:eastAsia="Bookman Old Style" w:hAnsiTheme="majorHAnsi" w:cs="Bookman Old Style"/>
          <w:sz w:val="24"/>
          <w:szCs w:val="24"/>
        </w:rPr>
        <w:t>In particolare</w:t>
      </w:r>
      <w:r w:rsidR="00B679E6" w:rsidRPr="009671A9">
        <w:rPr>
          <w:rFonts w:asciiTheme="majorHAnsi" w:eastAsia="Bookman Old Style" w:hAnsiTheme="majorHAnsi" w:cs="Bookman Old Style"/>
          <w:sz w:val="24"/>
          <w:szCs w:val="24"/>
        </w:rPr>
        <w:t>,</w:t>
      </w:r>
      <w:r w:rsidRPr="009671A9">
        <w:rPr>
          <w:rFonts w:asciiTheme="majorHAnsi" w:eastAsia="Bookman Old Style" w:hAnsiTheme="majorHAnsi" w:cs="Bookman Old Style"/>
          <w:sz w:val="24"/>
          <w:szCs w:val="24"/>
        </w:rPr>
        <w:t xml:space="preserve"> si suggerisce di integrare </w:t>
      </w:r>
      <w:r w:rsidR="00B679E6" w:rsidRPr="009671A9">
        <w:rPr>
          <w:rFonts w:asciiTheme="majorHAnsi" w:eastAsia="Bookman Old Style" w:hAnsiTheme="majorHAnsi" w:cs="Bookman Old Style"/>
          <w:sz w:val="24"/>
          <w:szCs w:val="24"/>
        </w:rPr>
        <w:t xml:space="preserve">fin d’ora </w:t>
      </w:r>
      <w:r w:rsidRPr="009671A9">
        <w:rPr>
          <w:rFonts w:asciiTheme="majorHAnsi" w:eastAsia="Bookman Old Style" w:hAnsiTheme="majorHAnsi" w:cs="Bookman Old Style"/>
          <w:sz w:val="24"/>
          <w:szCs w:val="24"/>
        </w:rPr>
        <w:t>i fondi già stanziati ed erogati la cui disponibilità finanziaria come è noto non copre il fabbisogno</w:t>
      </w:r>
      <w:r w:rsidR="00B679E6" w:rsidRPr="009671A9">
        <w:rPr>
          <w:rFonts w:asciiTheme="majorHAnsi" w:eastAsia="Bookman Old Style" w:hAnsiTheme="majorHAnsi" w:cs="Bookman Old Style"/>
          <w:sz w:val="24"/>
          <w:szCs w:val="24"/>
        </w:rPr>
        <w:t xml:space="preserve"> e la domanda espressa dai Comuni che può valutarsi in oltre 4 miliardi di euro su progetti ad elevata cantierabilità</w:t>
      </w:r>
      <w:r w:rsidRPr="009671A9">
        <w:rPr>
          <w:rFonts w:asciiTheme="majorHAnsi" w:eastAsia="Bookman Old Style" w:hAnsiTheme="majorHAnsi" w:cs="Bookman Old Style"/>
          <w:sz w:val="24"/>
          <w:szCs w:val="24"/>
        </w:rPr>
        <w:t>.</w:t>
      </w:r>
    </w:p>
    <w:p w14:paraId="01BBD142" w14:textId="77777777" w:rsidR="002C47F7" w:rsidRPr="009671A9" w:rsidRDefault="006C51BA" w:rsidP="00124509">
      <w:pPr>
        <w:spacing w:after="80" w:line="252" w:lineRule="auto"/>
        <w:jc w:val="both"/>
        <w:rPr>
          <w:rFonts w:asciiTheme="majorHAnsi" w:hAnsiTheme="majorHAnsi"/>
          <w:sz w:val="24"/>
          <w:szCs w:val="24"/>
        </w:rPr>
      </w:pPr>
      <w:r w:rsidRPr="009671A9">
        <w:rPr>
          <w:rFonts w:asciiTheme="majorHAnsi" w:eastAsia="Bookman Old Style" w:hAnsiTheme="majorHAnsi" w:cs="Bookman Old Style"/>
          <w:sz w:val="24"/>
          <w:szCs w:val="24"/>
        </w:rPr>
        <w:t>Pertanto</w:t>
      </w:r>
      <w:r w:rsidR="00B679E6" w:rsidRPr="009671A9">
        <w:rPr>
          <w:rFonts w:asciiTheme="majorHAnsi" w:eastAsia="Bookman Old Style" w:hAnsiTheme="majorHAnsi" w:cs="Bookman Old Style"/>
          <w:sz w:val="24"/>
          <w:szCs w:val="24"/>
        </w:rPr>
        <w:t xml:space="preserve">, appare decisiva la capacità di agire tempestivamente per </w:t>
      </w:r>
      <w:r w:rsidR="002C47F7" w:rsidRPr="009671A9">
        <w:rPr>
          <w:rFonts w:asciiTheme="majorHAnsi" w:eastAsia="Bookman Old Style" w:hAnsiTheme="majorHAnsi" w:cs="Bookman Old Style"/>
          <w:sz w:val="24"/>
          <w:szCs w:val="24"/>
        </w:rPr>
        <w:t>:</w:t>
      </w:r>
    </w:p>
    <w:p w14:paraId="41D1A432" w14:textId="41A7E987" w:rsidR="002C47F7" w:rsidRPr="009671A9" w:rsidRDefault="002C47F7" w:rsidP="00124509">
      <w:pPr>
        <w:pStyle w:val="Paragrafoelenco"/>
        <w:numPr>
          <w:ilvl w:val="0"/>
          <w:numId w:val="2"/>
        </w:numPr>
        <w:spacing w:after="80"/>
        <w:jc w:val="both"/>
        <w:rPr>
          <w:rFonts w:asciiTheme="majorHAnsi" w:eastAsiaTheme="minorEastAsia" w:hAnsiTheme="majorHAnsi"/>
          <w:sz w:val="24"/>
          <w:szCs w:val="24"/>
        </w:rPr>
      </w:pPr>
      <w:r w:rsidRPr="009671A9">
        <w:rPr>
          <w:rFonts w:asciiTheme="majorHAnsi" w:eastAsia="Bookman Old Style" w:hAnsiTheme="majorHAnsi" w:cs="Bookman Old Style"/>
          <w:b/>
          <w:bCs/>
          <w:sz w:val="24"/>
          <w:szCs w:val="24"/>
        </w:rPr>
        <w:t>l’intensificazione dei contributi statali</w:t>
      </w:r>
      <w:r w:rsidRPr="009671A9">
        <w:rPr>
          <w:rFonts w:asciiTheme="majorHAnsi" w:eastAsia="Bookman Old Style" w:hAnsiTheme="majorHAnsi" w:cs="Bookman Old Style"/>
          <w:sz w:val="24"/>
          <w:szCs w:val="24"/>
        </w:rPr>
        <w:t xml:space="preserve">, anche attraverso l’anticipo della messa a disposizione dei fondi già inseriti nelle leggi di bilancio 2019-20, attualmente previsti per gli anni dal 2021 in poi. </w:t>
      </w:r>
      <w:r w:rsidR="00B679E6" w:rsidRPr="009671A9">
        <w:rPr>
          <w:rFonts w:asciiTheme="majorHAnsi" w:eastAsia="Bookman Old Style" w:hAnsiTheme="majorHAnsi" w:cs="Bookman Old Style"/>
          <w:sz w:val="24"/>
          <w:szCs w:val="24"/>
        </w:rPr>
        <w:t>L</w:t>
      </w:r>
      <w:r w:rsidRPr="009671A9">
        <w:rPr>
          <w:rFonts w:asciiTheme="majorHAnsi" w:eastAsia="Bookman Old Style" w:hAnsiTheme="majorHAnsi" w:cs="Bookman Old Style"/>
          <w:sz w:val="24"/>
          <w:szCs w:val="24"/>
        </w:rPr>
        <w:t>’ANCI propone che tutti i Comuni che siano nelle condizioni di ampliare i programmi di investimento con affidamenti realizzabili entro l’anno possano accedere a finanziamenti aggiuntivi, in particolare sui programmi di cui ai commi da 29 a 80 della legge di bilancio 2020 (legge n. 160/2019).</w:t>
      </w:r>
    </w:p>
    <w:p w14:paraId="2294DBE5" w14:textId="77777777" w:rsidR="002C47F7" w:rsidRPr="009671A9" w:rsidRDefault="002C47F7" w:rsidP="00124509">
      <w:pPr>
        <w:pStyle w:val="Paragrafoelenco"/>
        <w:numPr>
          <w:ilvl w:val="0"/>
          <w:numId w:val="2"/>
        </w:numPr>
        <w:spacing w:after="80" w:line="252" w:lineRule="auto"/>
        <w:jc w:val="both"/>
        <w:rPr>
          <w:rFonts w:asciiTheme="majorHAnsi" w:eastAsiaTheme="minorEastAsia" w:hAnsiTheme="majorHAnsi"/>
          <w:sz w:val="24"/>
          <w:szCs w:val="24"/>
        </w:rPr>
      </w:pPr>
      <w:r w:rsidRPr="009671A9">
        <w:rPr>
          <w:rFonts w:asciiTheme="majorHAnsi" w:eastAsia="Bookman Old Style" w:hAnsiTheme="majorHAnsi" w:cs="Bookman Old Style"/>
          <w:b/>
          <w:bCs/>
          <w:sz w:val="24"/>
          <w:szCs w:val="24"/>
        </w:rPr>
        <w:t xml:space="preserve">la forte semplificazione degli adempimenti </w:t>
      </w:r>
      <w:r w:rsidRPr="009671A9">
        <w:rPr>
          <w:rFonts w:asciiTheme="majorHAnsi" w:eastAsia="Bookman Old Style" w:hAnsiTheme="majorHAnsi" w:cs="Bookman Old Style"/>
          <w:sz w:val="24"/>
          <w:szCs w:val="24"/>
        </w:rPr>
        <w:t>connessi agli affidamenti.</w:t>
      </w:r>
    </w:p>
    <w:p w14:paraId="43C4AFD7" w14:textId="77777777" w:rsidR="002C47F7" w:rsidRPr="009671A9" w:rsidRDefault="002C47F7" w:rsidP="00124509">
      <w:pPr>
        <w:spacing w:after="80" w:line="252" w:lineRule="auto"/>
        <w:ind w:left="360"/>
        <w:jc w:val="both"/>
        <w:rPr>
          <w:rFonts w:asciiTheme="majorHAnsi" w:eastAsia="Bookman Old Style" w:hAnsiTheme="majorHAnsi" w:cs="Bookman Old Style"/>
          <w:sz w:val="24"/>
          <w:szCs w:val="24"/>
        </w:rPr>
      </w:pPr>
      <w:r w:rsidRPr="009671A9">
        <w:rPr>
          <w:rFonts w:asciiTheme="majorHAnsi" w:hAnsiTheme="majorHAnsi"/>
          <w:sz w:val="24"/>
          <w:szCs w:val="24"/>
        </w:rPr>
        <w:br/>
      </w:r>
      <w:r w:rsidRPr="009671A9">
        <w:rPr>
          <w:rFonts w:asciiTheme="majorHAnsi" w:eastAsia="Bookman Old Style" w:hAnsiTheme="majorHAnsi" w:cs="Bookman Old Style"/>
          <w:sz w:val="24"/>
          <w:szCs w:val="24"/>
        </w:rPr>
        <w:t>Le proposte di semplificazione sono di seguito sintetizzate</w:t>
      </w:r>
      <w:r w:rsidR="0004298A" w:rsidRPr="009671A9">
        <w:rPr>
          <w:rFonts w:asciiTheme="majorHAnsi" w:eastAsia="Bookman Old Style" w:hAnsiTheme="majorHAnsi" w:cs="Bookman Old Style"/>
          <w:sz w:val="24"/>
          <w:szCs w:val="24"/>
        </w:rPr>
        <w:t>.</w:t>
      </w:r>
    </w:p>
    <w:p w14:paraId="6B9AA82A" w14:textId="77777777" w:rsidR="002C47F7" w:rsidRPr="009671A9" w:rsidRDefault="002C47F7" w:rsidP="00124509">
      <w:pPr>
        <w:spacing w:after="80" w:line="252" w:lineRule="auto"/>
        <w:jc w:val="both"/>
        <w:rPr>
          <w:rFonts w:asciiTheme="majorHAnsi" w:hAnsiTheme="majorHAnsi"/>
          <w:sz w:val="24"/>
          <w:szCs w:val="24"/>
          <w:lang w:val="fr-FR"/>
        </w:rPr>
      </w:pPr>
      <w:r w:rsidRPr="009671A9">
        <w:rPr>
          <w:rFonts w:asciiTheme="majorHAnsi" w:eastAsia="Bookman Old Style" w:hAnsiTheme="majorHAnsi" w:cs="Bookman Old Style"/>
          <w:b/>
          <w:bCs/>
          <w:sz w:val="24"/>
          <w:szCs w:val="24"/>
        </w:rPr>
        <w:t>Proroghiamo le misure del decreto sbloccantieri che stanno funzionando</w:t>
      </w:r>
    </w:p>
    <w:p w14:paraId="27324407" w14:textId="30257928" w:rsidR="002C47F7" w:rsidRPr="009671A9" w:rsidRDefault="002C47F7" w:rsidP="00124509">
      <w:pPr>
        <w:spacing w:after="80" w:line="252" w:lineRule="auto"/>
        <w:jc w:val="both"/>
        <w:rPr>
          <w:rFonts w:asciiTheme="majorHAnsi" w:hAnsiTheme="majorHAnsi"/>
          <w:sz w:val="24"/>
          <w:szCs w:val="24"/>
        </w:rPr>
      </w:pPr>
      <w:r w:rsidRPr="009671A9">
        <w:rPr>
          <w:rFonts w:asciiTheme="majorHAnsi" w:eastAsia="Bookman Old Style" w:hAnsiTheme="majorHAnsi" w:cs="Bookman Old Style"/>
          <w:sz w:val="24"/>
          <w:szCs w:val="24"/>
        </w:rPr>
        <w:t xml:space="preserve">Il decreto legge cd “Sblocca cantieri” ha </w:t>
      </w:r>
      <w:r w:rsidRPr="009671A9">
        <w:rPr>
          <w:rFonts w:asciiTheme="majorHAnsi" w:eastAsia="Bookman Old Style" w:hAnsiTheme="majorHAnsi" w:cs="Bookman Old Style"/>
          <w:b/>
          <w:bCs/>
          <w:sz w:val="24"/>
          <w:szCs w:val="24"/>
        </w:rPr>
        <w:t>sospeso fino al 31 dicembre 2020</w:t>
      </w:r>
      <w:r w:rsidRPr="009671A9">
        <w:rPr>
          <w:rFonts w:asciiTheme="majorHAnsi" w:eastAsia="Bookman Old Style" w:hAnsiTheme="majorHAnsi" w:cs="Bookman Old Style"/>
          <w:sz w:val="24"/>
          <w:szCs w:val="24"/>
        </w:rPr>
        <w:t xml:space="preserve"> circa 53 norme, alcune delle quali impattano significativamente sugli affidamenti di lavori, beni e servizi di Comuni e Città </w:t>
      </w:r>
      <w:r w:rsidR="00B679E6" w:rsidRPr="009671A9">
        <w:rPr>
          <w:rFonts w:asciiTheme="majorHAnsi" w:eastAsia="Bookman Old Style" w:hAnsiTheme="majorHAnsi" w:cs="Bookman Old Style"/>
          <w:sz w:val="24"/>
          <w:szCs w:val="24"/>
        </w:rPr>
        <w:t>metropolitane</w:t>
      </w:r>
      <w:r w:rsidRPr="009671A9">
        <w:rPr>
          <w:rFonts w:asciiTheme="majorHAnsi" w:eastAsia="Bookman Old Style" w:hAnsiTheme="majorHAnsi" w:cs="Bookman Old Style"/>
          <w:sz w:val="24"/>
          <w:szCs w:val="24"/>
        </w:rPr>
        <w:t xml:space="preserve">: obbligo di aggregazione per gli affidamenti di lavori, servizi e forniture per tutti i Comuni non </w:t>
      </w:r>
      <w:r w:rsidR="00B679E6" w:rsidRPr="009671A9">
        <w:rPr>
          <w:rFonts w:asciiTheme="majorHAnsi" w:eastAsia="Bookman Old Style" w:hAnsiTheme="majorHAnsi" w:cs="Bookman Old Style"/>
          <w:sz w:val="24"/>
          <w:szCs w:val="24"/>
        </w:rPr>
        <w:t>capoluogo</w:t>
      </w:r>
      <w:r w:rsidRPr="009671A9">
        <w:rPr>
          <w:rFonts w:asciiTheme="majorHAnsi" w:eastAsia="Bookman Old Style" w:hAnsiTheme="majorHAnsi" w:cs="Bookman Old Style"/>
          <w:sz w:val="24"/>
          <w:szCs w:val="24"/>
        </w:rPr>
        <w:t>; Albo presso Anac de</w:t>
      </w:r>
      <w:r w:rsidR="00704BED" w:rsidRPr="009671A9">
        <w:rPr>
          <w:rFonts w:asciiTheme="majorHAnsi" w:eastAsia="Bookman Old Style" w:hAnsiTheme="majorHAnsi" w:cs="Bookman Old Style"/>
          <w:sz w:val="24"/>
          <w:szCs w:val="24"/>
        </w:rPr>
        <w:t>l</w:t>
      </w:r>
      <w:r w:rsidRPr="009671A9">
        <w:rPr>
          <w:rFonts w:asciiTheme="majorHAnsi" w:eastAsia="Bookman Old Style" w:hAnsiTheme="majorHAnsi" w:cs="Bookman Old Style"/>
          <w:sz w:val="24"/>
          <w:szCs w:val="24"/>
        </w:rPr>
        <w:t xml:space="preserve">le Commissioni </w:t>
      </w:r>
      <w:r w:rsidR="00B679E6" w:rsidRPr="009671A9">
        <w:rPr>
          <w:rFonts w:asciiTheme="majorHAnsi" w:eastAsia="Bookman Old Style" w:hAnsiTheme="majorHAnsi" w:cs="Bookman Old Style"/>
          <w:sz w:val="24"/>
          <w:szCs w:val="24"/>
        </w:rPr>
        <w:t>aggiudicatrici</w:t>
      </w:r>
      <w:r w:rsidRPr="009671A9">
        <w:rPr>
          <w:rFonts w:asciiTheme="majorHAnsi" w:eastAsia="Bookman Old Style" w:hAnsiTheme="majorHAnsi" w:cs="Bookman Old Style"/>
          <w:sz w:val="24"/>
          <w:szCs w:val="24"/>
        </w:rPr>
        <w:t xml:space="preserve">; Sub-appalto; divieto di utilizzare l’istituto dell’appalto integrato. </w:t>
      </w:r>
    </w:p>
    <w:p w14:paraId="39A90C1F" w14:textId="1476BFC4" w:rsidR="002C47F7" w:rsidRPr="009671A9" w:rsidRDefault="002C47F7" w:rsidP="00124509">
      <w:pPr>
        <w:spacing w:after="80"/>
        <w:jc w:val="both"/>
        <w:rPr>
          <w:rFonts w:asciiTheme="majorHAnsi" w:eastAsiaTheme="minorEastAsia" w:hAnsiTheme="majorHAnsi"/>
          <w:b/>
          <w:bCs/>
          <w:sz w:val="24"/>
          <w:szCs w:val="24"/>
        </w:rPr>
      </w:pPr>
      <w:r w:rsidRPr="009671A9">
        <w:rPr>
          <w:rFonts w:asciiTheme="majorHAnsi" w:eastAsia="Bookman Old Style" w:hAnsiTheme="majorHAnsi" w:cs="Bookman Old Style"/>
          <w:b/>
          <w:bCs/>
          <w:sz w:val="24"/>
          <w:szCs w:val="24"/>
        </w:rPr>
        <w:t>Sindaci   Commissari Straordinari</w:t>
      </w:r>
    </w:p>
    <w:p w14:paraId="2542E2F8" w14:textId="6E2BD9FC" w:rsidR="002C47F7" w:rsidRPr="009671A9" w:rsidRDefault="002C47F7" w:rsidP="00124509">
      <w:pPr>
        <w:spacing w:after="80" w:line="252" w:lineRule="auto"/>
        <w:jc w:val="both"/>
        <w:rPr>
          <w:rFonts w:asciiTheme="majorHAnsi" w:eastAsia="Bookman Old Style" w:hAnsiTheme="majorHAnsi" w:cs="Bookman Old Style"/>
          <w:sz w:val="24"/>
          <w:szCs w:val="24"/>
        </w:rPr>
      </w:pPr>
      <w:r w:rsidRPr="009671A9">
        <w:rPr>
          <w:rFonts w:asciiTheme="majorHAnsi" w:eastAsia="Bookman Old Style" w:hAnsiTheme="majorHAnsi" w:cs="Bookman Old Style"/>
          <w:sz w:val="24"/>
          <w:szCs w:val="24"/>
        </w:rPr>
        <w:t xml:space="preserve">Per le opere </w:t>
      </w:r>
      <w:r w:rsidR="004C0AF6" w:rsidRPr="009671A9">
        <w:rPr>
          <w:rFonts w:asciiTheme="majorHAnsi" w:eastAsia="Bookman Old Style" w:hAnsiTheme="majorHAnsi" w:cs="Bookman Old Style"/>
          <w:sz w:val="24"/>
          <w:szCs w:val="24"/>
        </w:rPr>
        <w:t xml:space="preserve">strettamente strategiche di interesse locale, </w:t>
      </w:r>
      <w:r w:rsidRPr="009671A9">
        <w:rPr>
          <w:rFonts w:asciiTheme="majorHAnsi" w:eastAsia="Bookman Old Style" w:hAnsiTheme="majorHAnsi" w:cs="Bookman Old Style"/>
          <w:sz w:val="24"/>
          <w:szCs w:val="24"/>
        </w:rPr>
        <w:t xml:space="preserve">di importo non inferiore a </w:t>
      </w:r>
      <w:r w:rsidR="004C0AF6" w:rsidRPr="009671A9">
        <w:rPr>
          <w:rFonts w:asciiTheme="majorHAnsi" w:eastAsia="Bookman Old Style" w:hAnsiTheme="majorHAnsi" w:cs="Bookman Old Style"/>
          <w:sz w:val="24"/>
          <w:szCs w:val="24"/>
        </w:rPr>
        <w:t>2</w:t>
      </w:r>
      <w:r w:rsidRPr="009671A9">
        <w:rPr>
          <w:rFonts w:asciiTheme="majorHAnsi" w:eastAsia="Bookman Old Style" w:hAnsiTheme="majorHAnsi" w:cs="Bookman Old Style"/>
          <w:sz w:val="24"/>
          <w:szCs w:val="24"/>
        </w:rPr>
        <w:t>milion</w:t>
      </w:r>
      <w:r w:rsidR="004C0AF6" w:rsidRPr="009671A9">
        <w:rPr>
          <w:rFonts w:asciiTheme="majorHAnsi" w:eastAsia="Bookman Old Style" w:hAnsiTheme="majorHAnsi" w:cs="Bookman Old Style"/>
          <w:sz w:val="24"/>
          <w:szCs w:val="24"/>
        </w:rPr>
        <w:t>i</w:t>
      </w:r>
      <w:r w:rsidRPr="009671A9">
        <w:rPr>
          <w:rFonts w:asciiTheme="majorHAnsi" w:eastAsia="Bookman Old Style" w:hAnsiTheme="majorHAnsi" w:cs="Bookman Old Style"/>
          <w:sz w:val="24"/>
          <w:szCs w:val="24"/>
        </w:rPr>
        <w:t xml:space="preserve"> di euro, vorremmo mutuare il modello Genova e applicarlo a tutti i Sindaci consentendo loro</w:t>
      </w:r>
      <w:r w:rsidR="00DB7E56" w:rsidRPr="009671A9">
        <w:rPr>
          <w:rFonts w:asciiTheme="majorHAnsi" w:eastAsia="Bookman Old Style" w:hAnsiTheme="majorHAnsi" w:cs="Bookman Old Style"/>
          <w:sz w:val="24"/>
          <w:szCs w:val="24"/>
        </w:rPr>
        <w:t>,</w:t>
      </w:r>
      <w:r w:rsidR="004C0AF6" w:rsidRPr="009671A9">
        <w:rPr>
          <w:rFonts w:asciiTheme="majorHAnsi" w:eastAsia="Bookman Old Style" w:hAnsiTheme="majorHAnsi" w:cs="Bookman Old Style"/>
          <w:sz w:val="24"/>
          <w:szCs w:val="24"/>
        </w:rPr>
        <w:t xml:space="preserve"> con possibilità di delega, </w:t>
      </w:r>
      <w:r w:rsidRPr="009671A9">
        <w:rPr>
          <w:rFonts w:asciiTheme="majorHAnsi" w:eastAsia="Bookman Old Style" w:hAnsiTheme="majorHAnsi" w:cs="Bookman Old Style"/>
          <w:sz w:val="24"/>
          <w:szCs w:val="24"/>
        </w:rPr>
        <w:t>, di agire anche in deroga al Codice appalti ma nel rispetto dei vincoli inderogabili</w:t>
      </w:r>
      <w:r w:rsidR="004C0AF6" w:rsidRPr="009671A9">
        <w:rPr>
          <w:rFonts w:asciiTheme="majorHAnsi" w:eastAsia="Bookman Old Style" w:hAnsiTheme="majorHAnsi" w:cs="Bookman Old Style"/>
          <w:sz w:val="24"/>
          <w:szCs w:val="24"/>
        </w:rPr>
        <w:t>.</w:t>
      </w:r>
      <w:r w:rsidRPr="009671A9">
        <w:rPr>
          <w:rFonts w:asciiTheme="majorHAnsi" w:eastAsia="Bookman Old Style" w:hAnsiTheme="majorHAnsi" w:cs="Bookman Old Style"/>
          <w:sz w:val="24"/>
          <w:szCs w:val="24"/>
        </w:rPr>
        <w:t xml:space="preserve"> dell’UE. Esattamente come per il Ponte di Genova.</w:t>
      </w:r>
    </w:p>
    <w:p w14:paraId="7462B865" w14:textId="77777777" w:rsidR="002C47F7" w:rsidRPr="009671A9" w:rsidRDefault="002C47F7" w:rsidP="00124509">
      <w:pPr>
        <w:spacing w:after="80"/>
        <w:jc w:val="both"/>
        <w:rPr>
          <w:rFonts w:asciiTheme="majorHAnsi" w:eastAsiaTheme="minorEastAsia" w:hAnsiTheme="majorHAnsi"/>
          <w:b/>
          <w:bCs/>
          <w:sz w:val="24"/>
          <w:szCs w:val="24"/>
        </w:rPr>
      </w:pPr>
      <w:r w:rsidRPr="009671A9">
        <w:rPr>
          <w:rFonts w:asciiTheme="majorHAnsi" w:eastAsia="Bookman Old Style" w:hAnsiTheme="majorHAnsi" w:cs="Bookman Old Style"/>
          <w:b/>
          <w:bCs/>
          <w:sz w:val="24"/>
          <w:szCs w:val="24"/>
        </w:rPr>
        <w:t>Acceleriamo il contenzioso</w:t>
      </w:r>
    </w:p>
    <w:p w14:paraId="0A48FAAC" w14:textId="1EFE5D2A" w:rsidR="004B3D55" w:rsidRPr="009671A9" w:rsidRDefault="002C47F7" w:rsidP="00124509">
      <w:pPr>
        <w:jc w:val="both"/>
        <w:rPr>
          <w:rFonts w:asciiTheme="majorHAnsi" w:eastAsia="Bookman Old Style" w:hAnsiTheme="majorHAnsi" w:cs="Bookman Old Style"/>
          <w:sz w:val="24"/>
          <w:szCs w:val="24"/>
        </w:rPr>
      </w:pPr>
      <w:r w:rsidRPr="009671A9">
        <w:rPr>
          <w:rFonts w:asciiTheme="majorHAnsi" w:eastAsia="Bookman Old Style" w:hAnsiTheme="majorHAnsi" w:cs="Bookman Old Style"/>
          <w:sz w:val="24"/>
          <w:szCs w:val="24"/>
        </w:rPr>
        <w:t xml:space="preserve">Per un’accelerazione nella realizzazione di opere pubbliche, occorre una semplificazione del contenzioso. I giudizi pendenti in fase di aggiudicazione ed il rischio di dover cominciare daccapo anche senza una misura cautelare di sospensione, rischiano di ingessare per anni la realizzazione di opere pubbliche strategiche. Proponiamo, in caso di vittoria di un’impresa in un ricorso avverso l’aggiudicazione di un appalto, che sia disposto unicamente il risarcimento per equivalente, </w:t>
      </w:r>
      <w:r w:rsidR="00DB7E56" w:rsidRPr="009671A9">
        <w:rPr>
          <w:rFonts w:asciiTheme="majorHAnsi" w:eastAsia="Bookman Old Style" w:hAnsiTheme="majorHAnsi" w:cs="Bookman Old Style"/>
          <w:sz w:val="24"/>
          <w:szCs w:val="24"/>
        </w:rPr>
        <w:t xml:space="preserve">subìto </w:t>
      </w:r>
      <w:r w:rsidRPr="009671A9">
        <w:rPr>
          <w:rFonts w:asciiTheme="majorHAnsi" w:eastAsia="Bookman Old Style" w:hAnsiTheme="majorHAnsi" w:cs="Bookman Old Style"/>
          <w:sz w:val="24"/>
          <w:szCs w:val="24"/>
        </w:rPr>
        <w:t>e provato</w:t>
      </w:r>
      <w:r w:rsidRPr="009671A9">
        <w:rPr>
          <w:rFonts w:asciiTheme="majorHAnsi" w:eastAsia="Arial" w:hAnsiTheme="majorHAnsi" w:cs="Arial"/>
          <w:i/>
          <w:iCs/>
          <w:sz w:val="24"/>
          <w:szCs w:val="24"/>
        </w:rPr>
        <w:t xml:space="preserve">. </w:t>
      </w:r>
      <w:r w:rsidRPr="009671A9">
        <w:rPr>
          <w:rFonts w:asciiTheme="majorHAnsi" w:eastAsia="Bookman Old Style" w:hAnsiTheme="majorHAnsi" w:cs="Bookman Old Style"/>
          <w:sz w:val="24"/>
          <w:szCs w:val="24"/>
        </w:rPr>
        <w:t>Corollario di tale disposizione è la limitazione al solo dolo e non anche alla colpa grave della responsabilità per danno erariale del dipendente che dispone l’aggiudicazione di un appalto, pur in presenza di un ricorso.</w:t>
      </w:r>
    </w:p>
    <w:p w14:paraId="242E4D4D" w14:textId="77777777" w:rsidR="005A26A4" w:rsidRPr="009671A9" w:rsidRDefault="004C0AF6" w:rsidP="00124509">
      <w:pPr>
        <w:jc w:val="both"/>
        <w:rPr>
          <w:rFonts w:asciiTheme="majorHAnsi" w:eastAsia="Bookman Old Style" w:hAnsiTheme="majorHAnsi" w:cs="Bookman Old Style"/>
          <w:b/>
          <w:sz w:val="24"/>
          <w:szCs w:val="24"/>
        </w:rPr>
      </w:pPr>
      <w:r w:rsidRPr="009671A9">
        <w:rPr>
          <w:rFonts w:asciiTheme="majorHAnsi" w:eastAsia="Bookman Old Style" w:hAnsiTheme="majorHAnsi" w:cs="Bookman Old Style"/>
          <w:b/>
          <w:sz w:val="24"/>
          <w:szCs w:val="24"/>
        </w:rPr>
        <w:lastRenderedPageBreak/>
        <w:t>Procedimenti autorizzatori degli investimenti più rapidi</w:t>
      </w:r>
    </w:p>
    <w:p w14:paraId="4E9F9E4A" w14:textId="0B3370E5" w:rsidR="004C0AF6" w:rsidRPr="009671A9" w:rsidRDefault="005A26A4" w:rsidP="00124509">
      <w:pPr>
        <w:jc w:val="both"/>
        <w:rPr>
          <w:rFonts w:asciiTheme="majorHAnsi" w:eastAsia="Bookman Old Style" w:hAnsiTheme="majorHAnsi" w:cs="Bookman Old Style"/>
          <w:sz w:val="24"/>
          <w:szCs w:val="24"/>
        </w:rPr>
      </w:pPr>
      <w:r w:rsidRPr="009671A9">
        <w:rPr>
          <w:rFonts w:asciiTheme="majorHAnsi" w:eastAsia="Bookman Old Style" w:hAnsiTheme="majorHAnsi" w:cs="Bookman Old Style"/>
          <w:bCs/>
          <w:sz w:val="24"/>
          <w:szCs w:val="24"/>
        </w:rPr>
        <w:t>R</w:t>
      </w:r>
      <w:r w:rsidR="004C0AF6" w:rsidRPr="009671A9">
        <w:rPr>
          <w:rFonts w:asciiTheme="majorHAnsi" w:eastAsia="Bookman Old Style" w:hAnsiTheme="majorHAnsi" w:cs="Bookman Old Style"/>
          <w:sz w:val="24"/>
          <w:szCs w:val="24"/>
        </w:rPr>
        <w:t xml:space="preserve">iteniamo improcrastinabile lo snellimento dell’iter autorizzatorio degli investimenti, in particolare per quanto riguarda i visti, i nulla osta e i pareri degli enti preposti alla tutela ambientale, culturale e paesaggistica. </w:t>
      </w:r>
      <w:r w:rsidRPr="009671A9">
        <w:rPr>
          <w:rFonts w:asciiTheme="majorHAnsi" w:eastAsia="Bookman Old Style" w:hAnsiTheme="majorHAnsi" w:cs="Bookman Old Style"/>
          <w:b/>
          <w:sz w:val="24"/>
          <w:szCs w:val="24"/>
        </w:rPr>
        <w:t xml:space="preserve"> </w:t>
      </w:r>
      <w:r w:rsidR="004C0AF6" w:rsidRPr="009671A9">
        <w:rPr>
          <w:rFonts w:asciiTheme="majorHAnsi" w:eastAsia="Bookman Old Style" w:hAnsiTheme="majorHAnsi" w:cs="Bookman Old Style"/>
          <w:sz w:val="24"/>
          <w:szCs w:val="24"/>
        </w:rPr>
        <w:t>La nostra proposta è quella di potenziare lo strumento della Conferenza dei Servizi dimezzandone i tempi e utilizzando lo strumento del silenzio assenso per ogni autorizzazione, parere e nulla osta necessario alla realizzazione dell’</w:t>
      </w:r>
      <w:r w:rsidR="00D00413" w:rsidRPr="009671A9">
        <w:rPr>
          <w:rFonts w:asciiTheme="majorHAnsi" w:eastAsia="Bookman Old Style" w:hAnsiTheme="majorHAnsi" w:cs="Bookman Old Style"/>
          <w:sz w:val="24"/>
          <w:szCs w:val="24"/>
        </w:rPr>
        <w:t xml:space="preserve">opera, </w:t>
      </w:r>
    </w:p>
    <w:p w14:paraId="4F7EC72C" w14:textId="4DABD5D9" w:rsidR="005A26A4" w:rsidRPr="009671A9" w:rsidRDefault="005A26A4" w:rsidP="00124509">
      <w:pPr>
        <w:jc w:val="both"/>
        <w:rPr>
          <w:rFonts w:asciiTheme="majorHAnsi" w:eastAsia="Bookman Old Style" w:hAnsiTheme="majorHAnsi" w:cs="Bookman Old Style"/>
          <w:sz w:val="24"/>
          <w:szCs w:val="24"/>
        </w:rPr>
      </w:pPr>
    </w:p>
    <w:p w14:paraId="5437D121" w14:textId="2BBDB841" w:rsidR="005A26A4" w:rsidRPr="009671A9" w:rsidRDefault="005A26A4" w:rsidP="00EE4148">
      <w:pPr>
        <w:pStyle w:val="Paragrafoelenco"/>
        <w:numPr>
          <w:ilvl w:val="0"/>
          <w:numId w:val="8"/>
        </w:numPr>
        <w:jc w:val="both"/>
        <w:rPr>
          <w:rFonts w:asciiTheme="majorHAnsi" w:eastAsia="Bookman Old Style" w:hAnsiTheme="majorHAnsi" w:cs="Bookman Old Style"/>
          <w:b/>
          <w:bCs/>
          <w:i/>
          <w:iCs/>
          <w:sz w:val="24"/>
          <w:szCs w:val="24"/>
        </w:rPr>
      </w:pPr>
      <w:r w:rsidRPr="009671A9">
        <w:rPr>
          <w:rFonts w:asciiTheme="majorHAnsi" w:eastAsia="Bookman Old Style" w:hAnsiTheme="majorHAnsi" w:cs="Bookman Old Style"/>
          <w:b/>
          <w:bCs/>
          <w:i/>
          <w:iCs/>
          <w:sz w:val="24"/>
          <w:szCs w:val="24"/>
        </w:rPr>
        <w:t>I SETTORI DI ELEZIONE PER INVESTIMENTI CHE GUARDANO AL FUTURO</w:t>
      </w:r>
    </w:p>
    <w:p w14:paraId="78CEDDBC" w14:textId="518C1022" w:rsidR="000825D7" w:rsidRPr="009671A9" w:rsidRDefault="000825D7" w:rsidP="00124509">
      <w:pPr>
        <w:jc w:val="both"/>
        <w:rPr>
          <w:rFonts w:asciiTheme="majorHAnsi" w:eastAsia="Bookman Old Style" w:hAnsiTheme="majorHAnsi" w:cs="Bookman Old Style"/>
          <w:sz w:val="24"/>
          <w:szCs w:val="24"/>
        </w:rPr>
      </w:pPr>
      <w:r w:rsidRPr="009671A9">
        <w:rPr>
          <w:rFonts w:asciiTheme="majorHAnsi" w:eastAsia="Bookman Old Style" w:hAnsiTheme="majorHAnsi" w:cs="Bookman Old Style"/>
          <w:sz w:val="24"/>
          <w:szCs w:val="24"/>
        </w:rPr>
        <w:t>I sindaci ritengono necessario concentrare l’attenzione su alcuni ambiti specifici in particolare si fa riferimento:</w:t>
      </w:r>
    </w:p>
    <w:p w14:paraId="7B08D2CA" w14:textId="54479D2E" w:rsidR="003A6C4F" w:rsidRPr="009671A9" w:rsidRDefault="00CE24BD" w:rsidP="003A6C4F">
      <w:pPr>
        <w:jc w:val="both"/>
        <w:rPr>
          <w:rFonts w:asciiTheme="majorHAnsi" w:eastAsia="Times New Roman" w:hAnsiTheme="majorHAnsi"/>
          <w:sz w:val="24"/>
          <w:szCs w:val="24"/>
        </w:rPr>
      </w:pPr>
      <w:r w:rsidRPr="009671A9">
        <w:rPr>
          <w:rFonts w:asciiTheme="majorHAnsi" w:eastAsia="Bookman Old Style" w:hAnsiTheme="majorHAnsi" w:cs="Bookman Old Style"/>
          <w:b/>
          <w:bCs/>
          <w:sz w:val="24"/>
          <w:szCs w:val="24"/>
          <w:u w:val="single"/>
        </w:rPr>
        <w:t>sviluppo sostenibile</w:t>
      </w:r>
      <w:r w:rsidRPr="009671A9">
        <w:rPr>
          <w:rFonts w:asciiTheme="majorHAnsi" w:eastAsia="Bookman Old Style" w:hAnsiTheme="majorHAnsi" w:cs="Bookman Old Style"/>
          <w:sz w:val="24"/>
          <w:szCs w:val="24"/>
          <w:u w:val="single"/>
        </w:rPr>
        <w:t xml:space="preserve">. </w:t>
      </w:r>
      <w:r w:rsidR="003A6C4F" w:rsidRPr="009671A9">
        <w:rPr>
          <w:rFonts w:asciiTheme="majorHAnsi" w:eastAsia="Times New Roman" w:hAnsiTheme="majorHAnsi"/>
          <w:sz w:val="24"/>
          <w:szCs w:val="24"/>
        </w:rPr>
        <w:t xml:space="preserve"> Va sostenuto il </w:t>
      </w:r>
      <w:r w:rsidR="003A6C4F" w:rsidRPr="009671A9">
        <w:rPr>
          <w:rFonts w:asciiTheme="majorHAnsi" w:eastAsia="Times New Roman" w:hAnsiTheme="majorHAnsi"/>
          <w:b/>
          <w:bCs/>
          <w:i/>
          <w:iCs/>
          <w:sz w:val="24"/>
          <w:szCs w:val="24"/>
        </w:rPr>
        <w:t>Green Act</w:t>
      </w:r>
      <w:r w:rsidR="003A6C4F" w:rsidRPr="009671A9">
        <w:rPr>
          <w:rFonts w:asciiTheme="majorHAnsi" w:eastAsia="Times New Roman" w:hAnsiTheme="majorHAnsi"/>
          <w:sz w:val="24"/>
          <w:szCs w:val="24"/>
        </w:rPr>
        <w:t xml:space="preserve"> dei Comuni e delle Città con misure quali 100 milioni di alberi in 5 anni che a regime vuol dire assorbire 2,5 milioni di tonnellate di Co2/anno.; investimenti per almeno 5 miliardi per  mobilità, efficienza energetica, economia circolare ; un piano di sostituzione delle  caldaie  a partire dalle Città metropolitane (si stimano 3 milioni di caldaie con più di 15 anni da sostituire in 5 anni con una riduzione  di 2,5 milioni di tonnellate co2/anno. Si fa presente che l’Inquinamento da riscaldamento domestico può arrivare a superare 6 volte quello da traffico, in termini di emissioni di co2.); un piano  per l’installazione di colonnine elettriche: 30.000  in 4 anni. </w:t>
      </w:r>
    </w:p>
    <w:p w14:paraId="0B68E426" w14:textId="77777777" w:rsidR="009671A9" w:rsidRDefault="009671A9" w:rsidP="00124509">
      <w:pPr>
        <w:jc w:val="both"/>
        <w:rPr>
          <w:rFonts w:asciiTheme="majorHAnsi" w:eastAsia="Bookman Old Style" w:hAnsiTheme="majorHAnsi" w:cs="Bookman Old Style"/>
          <w:sz w:val="24"/>
          <w:szCs w:val="24"/>
          <w:u w:val="single"/>
        </w:rPr>
      </w:pPr>
    </w:p>
    <w:p w14:paraId="796FEB66" w14:textId="7CC42268" w:rsidR="00CE24BD" w:rsidRPr="009671A9" w:rsidRDefault="00CE24BD" w:rsidP="00124509">
      <w:pPr>
        <w:jc w:val="both"/>
        <w:rPr>
          <w:rFonts w:asciiTheme="majorHAnsi" w:eastAsia="Bookman Old Style" w:hAnsiTheme="majorHAnsi" w:cs="Bookman Old Style"/>
          <w:sz w:val="24"/>
          <w:szCs w:val="24"/>
        </w:rPr>
      </w:pPr>
      <w:r w:rsidRPr="009671A9">
        <w:rPr>
          <w:rFonts w:asciiTheme="majorHAnsi" w:eastAsia="Bookman Old Style" w:hAnsiTheme="majorHAnsi" w:cs="Bookman Old Style"/>
          <w:sz w:val="24"/>
          <w:szCs w:val="24"/>
        </w:rPr>
        <w:t xml:space="preserve">In questo ambito vanno promosse misure che </w:t>
      </w:r>
      <w:r w:rsidR="00CC5E49" w:rsidRPr="009671A9">
        <w:rPr>
          <w:rFonts w:asciiTheme="majorHAnsi" w:eastAsia="Bookman Old Style" w:hAnsiTheme="majorHAnsi" w:cs="Bookman Old Style"/>
          <w:sz w:val="24"/>
          <w:szCs w:val="24"/>
        </w:rPr>
        <w:t xml:space="preserve">valorizzino il tessuto istituzionale dei </w:t>
      </w:r>
      <w:r w:rsidR="00CC5E49" w:rsidRPr="009671A9">
        <w:rPr>
          <w:rFonts w:asciiTheme="majorHAnsi" w:eastAsia="Bookman Old Style" w:hAnsiTheme="majorHAnsi" w:cs="Bookman Old Style"/>
          <w:b/>
          <w:bCs/>
          <w:sz w:val="24"/>
          <w:szCs w:val="24"/>
        </w:rPr>
        <w:t>piccoli Comuni,</w:t>
      </w:r>
      <w:r w:rsidR="00CC5E49" w:rsidRPr="009671A9">
        <w:rPr>
          <w:rFonts w:asciiTheme="majorHAnsi" w:eastAsia="Bookman Old Style" w:hAnsiTheme="majorHAnsi" w:cs="Bookman Old Style"/>
          <w:sz w:val="24"/>
          <w:szCs w:val="24"/>
        </w:rPr>
        <w:t xml:space="preserve"> puntando su una Strategia Italia che “specializzi” e rafforzi le singole vocazioni territoriali: pensiamo a misure multiple, selezionate e coordinate che alimentino le bellezze architettoniche e la storia culturale, il patrimonio enogastronomico, le bellezze naturali, la qualità della vita etc. L’unione fra le radici della storia e l’innovazione tecnologica può consentire un salto di qualità: serve quindi un </w:t>
      </w:r>
      <w:r w:rsidR="00CC5E49" w:rsidRPr="009671A9">
        <w:rPr>
          <w:rFonts w:asciiTheme="majorHAnsi" w:eastAsia="Bookman Old Style" w:hAnsiTheme="majorHAnsi" w:cs="Bookman Old Style"/>
          <w:b/>
          <w:bCs/>
          <w:sz w:val="24"/>
          <w:szCs w:val="24"/>
        </w:rPr>
        <w:t>Piano Italia dei Comuni</w:t>
      </w:r>
      <w:r w:rsidR="00CC5E49" w:rsidRPr="009671A9">
        <w:rPr>
          <w:rFonts w:asciiTheme="majorHAnsi" w:eastAsia="Bookman Old Style" w:hAnsiTheme="majorHAnsi" w:cs="Bookman Old Style"/>
          <w:sz w:val="24"/>
          <w:szCs w:val="24"/>
        </w:rPr>
        <w:t xml:space="preserve"> ( dai distretti del benessere,</w:t>
      </w:r>
      <w:r w:rsidR="00E86D88" w:rsidRPr="009671A9">
        <w:rPr>
          <w:rFonts w:asciiTheme="majorHAnsi" w:eastAsia="Bookman Old Style" w:hAnsiTheme="majorHAnsi" w:cs="Bookman Old Style"/>
          <w:sz w:val="24"/>
          <w:szCs w:val="24"/>
        </w:rPr>
        <w:t xml:space="preserve"> ai borghi culturali, ai Comuni del riposo, etc).</w:t>
      </w:r>
    </w:p>
    <w:p w14:paraId="64F94527" w14:textId="62D165D4" w:rsidR="00E86D88" w:rsidRPr="009671A9" w:rsidRDefault="00E86D88" w:rsidP="00124509">
      <w:pPr>
        <w:jc w:val="both"/>
        <w:rPr>
          <w:rFonts w:asciiTheme="majorHAnsi" w:eastAsia="Bookman Old Style" w:hAnsiTheme="majorHAnsi" w:cs="Bookman Old Style"/>
          <w:sz w:val="24"/>
          <w:szCs w:val="24"/>
        </w:rPr>
      </w:pPr>
      <w:r w:rsidRPr="009671A9">
        <w:rPr>
          <w:rFonts w:asciiTheme="majorHAnsi" w:eastAsia="Bookman Old Style" w:hAnsiTheme="majorHAnsi" w:cs="Bookman Old Style"/>
          <w:sz w:val="24"/>
          <w:szCs w:val="24"/>
        </w:rPr>
        <w:t xml:space="preserve">Allo stesso tempo va ripresa l’attenzione per le </w:t>
      </w:r>
      <w:r w:rsidRPr="009671A9">
        <w:rPr>
          <w:rFonts w:asciiTheme="majorHAnsi" w:eastAsia="Bookman Old Style" w:hAnsiTheme="majorHAnsi" w:cs="Bookman Old Style"/>
          <w:b/>
          <w:bCs/>
          <w:sz w:val="24"/>
          <w:szCs w:val="24"/>
        </w:rPr>
        <w:t>periferie sociali</w:t>
      </w:r>
      <w:r w:rsidRPr="009671A9">
        <w:rPr>
          <w:rFonts w:asciiTheme="majorHAnsi" w:eastAsia="Bookman Old Style" w:hAnsiTheme="majorHAnsi" w:cs="Bookman Old Style"/>
          <w:sz w:val="24"/>
          <w:szCs w:val="24"/>
        </w:rPr>
        <w:t xml:space="preserve"> – tema richiamato dalla Commissione europea- che investe direttamente il lavoro quotidiano dei sindaci. Le condizioni di marginalità e di esclusione sociale aumenteranno anche a causa dell’emergenza e serve quindi una terapia d’urto immediata che non può assolutamente limitarsi ai necessari, ma poco strategici strumenti di sostegno al reddito (CIG o REM).  Serve dare risorse alla funzione di welfare comunale e alla costruzione di progetti pubblico-privato che vedano i Comuni </w:t>
      </w:r>
      <w:r w:rsidR="00085DC3" w:rsidRPr="009671A9">
        <w:rPr>
          <w:rFonts w:asciiTheme="majorHAnsi" w:eastAsia="Bookman Old Style" w:hAnsiTheme="majorHAnsi" w:cs="Bookman Old Style"/>
          <w:sz w:val="24"/>
          <w:szCs w:val="24"/>
        </w:rPr>
        <w:t>attori dialoganti nella comunità. Servono risorse per nuovi investimenti per le periferie, guardando ai driver della sostenibilità: ecoquartieri, mobilità sostenibile a partire dalle aree in cui maggiore è il degrado e maggiore è il fabbisogno di rigenerazione urbana.</w:t>
      </w:r>
    </w:p>
    <w:p w14:paraId="7469AAF7" w14:textId="77777777" w:rsidR="00CE24BD" w:rsidRPr="009671A9" w:rsidRDefault="00CE24BD" w:rsidP="00124509">
      <w:pPr>
        <w:jc w:val="both"/>
        <w:rPr>
          <w:rFonts w:asciiTheme="majorHAnsi" w:eastAsia="Bookman Old Style" w:hAnsiTheme="majorHAnsi" w:cs="Bookman Old Style"/>
          <w:sz w:val="24"/>
          <w:szCs w:val="24"/>
          <w:u w:val="single"/>
        </w:rPr>
      </w:pPr>
    </w:p>
    <w:p w14:paraId="640B415E" w14:textId="71BDF301" w:rsidR="00AC02B1" w:rsidRPr="009671A9" w:rsidRDefault="000825D7" w:rsidP="00AC02B1">
      <w:pPr>
        <w:jc w:val="both"/>
        <w:rPr>
          <w:rFonts w:asciiTheme="majorHAnsi" w:hAnsiTheme="majorHAnsi"/>
          <w:sz w:val="24"/>
          <w:szCs w:val="24"/>
        </w:rPr>
      </w:pPr>
      <w:r w:rsidRPr="009671A9">
        <w:rPr>
          <w:rFonts w:asciiTheme="majorHAnsi" w:eastAsia="Bookman Old Style" w:hAnsiTheme="majorHAnsi" w:cs="Bookman Old Style"/>
          <w:b/>
          <w:bCs/>
          <w:sz w:val="24"/>
          <w:szCs w:val="24"/>
          <w:u w:val="single"/>
        </w:rPr>
        <w:t xml:space="preserve">transizione digitale e banda larga. </w:t>
      </w:r>
      <w:r w:rsidR="00AC02B1" w:rsidRPr="009671A9">
        <w:rPr>
          <w:rFonts w:asciiTheme="majorHAnsi" w:hAnsiTheme="majorHAnsi"/>
          <w:sz w:val="24"/>
          <w:szCs w:val="24"/>
        </w:rPr>
        <w:t xml:space="preserve"> </w:t>
      </w:r>
      <w:r w:rsidR="00AC02B1" w:rsidRPr="009671A9">
        <w:rPr>
          <w:rFonts w:asciiTheme="majorHAnsi" w:eastAsia="Bookman Old Style" w:hAnsiTheme="majorHAnsi" w:cs="Bookman Old Style"/>
          <w:sz w:val="24"/>
          <w:szCs w:val="24"/>
        </w:rPr>
        <w:t xml:space="preserve">Qualunque strategia di rilancio non potrà essere immaginata senza un deciso impegno politico e di risorse su due infrastrutture digitali finora </w:t>
      </w:r>
      <w:r w:rsidR="00AC02B1" w:rsidRPr="009671A9">
        <w:rPr>
          <w:rFonts w:asciiTheme="majorHAnsi" w:eastAsia="Bookman Old Style" w:hAnsiTheme="majorHAnsi" w:cs="Bookman Old Style"/>
          <w:sz w:val="24"/>
          <w:szCs w:val="24"/>
        </w:rPr>
        <w:lastRenderedPageBreak/>
        <w:t>troppo trascurate dalle politiche pubbliche nazionali e locali, e che invece rappresentano condizioni abilitanti per lo sviluppo locale.</w:t>
      </w:r>
    </w:p>
    <w:p w14:paraId="4E797562" w14:textId="77777777" w:rsidR="00AC02B1" w:rsidRPr="009671A9" w:rsidRDefault="00AC02B1" w:rsidP="00AC02B1">
      <w:pPr>
        <w:jc w:val="both"/>
        <w:rPr>
          <w:rFonts w:asciiTheme="majorHAnsi" w:eastAsia="Bookman Old Style" w:hAnsiTheme="majorHAnsi" w:cs="Bookman Old Style"/>
          <w:sz w:val="24"/>
          <w:szCs w:val="24"/>
        </w:rPr>
      </w:pPr>
      <w:r w:rsidRPr="009671A9">
        <w:rPr>
          <w:rFonts w:asciiTheme="majorHAnsi" w:eastAsia="Bookman Old Style" w:hAnsiTheme="majorHAnsi" w:cs="Bookman Old Style"/>
          <w:sz w:val="24"/>
          <w:szCs w:val="24"/>
        </w:rPr>
        <w:t xml:space="preserve">La prima è il </w:t>
      </w:r>
      <w:r w:rsidRPr="009671A9">
        <w:rPr>
          <w:rFonts w:asciiTheme="majorHAnsi" w:eastAsia="Bookman Old Style" w:hAnsiTheme="majorHAnsi" w:cs="Bookman Old Style"/>
          <w:b/>
          <w:sz w:val="24"/>
          <w:szCs w:val="24"/>
        </w:rPr>
        <w:t>potenziamento e lo sviluppo delle reti banda ultra larga</w:t>
      </w:r>
      <w:r w:rsidRPr="009671A9">
        <w:rPr>
          <w:rFonts w:asciiTheme="majorHAnsi" w:eastAsia="Bookman Old Style" w:hAnsiTheme="majorHAnsi" w:cs="Bookman Old Style"/>
          <w:sz w:val="24"/>
          <w:szCs w:val="24"/>
        </w:rPr>
        <w:t>: la connettività rappresenta sempre di più un fattore abilitante per costruire buone politiche pubbliche e favorire lo sviluppo dei territori, soprattutto in tempi come questi in cui smart working, servizi on-line della PA e accesso al diritto allo studio si sono rilevati fondamentali per gestire il distanziamento sociale nella prima fase della  pandemia e ancora di più lo saranno nelle fasi di ripresa e rilancio.</w:t>
      </w:r>
    </w:p>
    <w:p w14:paraId="249910A9" w14:textId="77777777" w:rsidR="00AC02B1" w:rsidRPr="009671A9" w:rsidRDefault="00AC02B1" w:rsidP="00AC02B1">
      <w:pPr>
        <w:jc w:val="both"/>
        <w:rPr>
          <w:rFonts w:asciiTheme="majorHAnsi" w:eastAsia="Bookman Old Style" w:hAnsiTheme="majorHAnsi" w:cs="Bookman Old Style"/>
          <w:sz w:val="24"/>
          <w:szCs w:val="24"/>
        </w:rPr>
      </w:pPr>
      <w:r w:rsidRPr="009671A9">
        <w:rPr>
          <w:rFonts w:asciiTheme="majorHAnsi" w:eastAsia="Bookman Old Style" w:hAnsiTheme="majorHAnsi" w:cs="Bookman Old Style"/>
          <w:sz w:val="24"/>
          <w:szCs w:val="24"/>
        </w:rPr>
        <w:t xml:space="preserve">In merito a questo: </w:t>
      </w:r>
    </w:p>
    <w:p w14:paraId="1F20F7FE" w14:textId="515CC3C3" w:rsidR="00AC02B1" w:rsidRPr="009671A9" w:rsidRDefault="00AC02B1" w:rsidP="00AC02B1">
      <w:pPr>
        <w:pStyle w:val="Paragrafoelenco"/>
        <w:numPr>
          <w:ilvl w:val="1"/>
          <w:numId w:val="9"/>
        </w:numPr>
        <w:spacing w:after="120" w:line="240" w:lineRule="auto"/>
        <w:ind w:left="993" w:hanging="284"/>
        <w:jc w:val="both"/>
        <w:rPr>
          <w:rFonts w:asciiTheme="majorHAnsi" w:hAnsiTheme="majorHAnsi"/>
          <w:sz w:val="24"/>
          <w:szCs w:val="24"/>
        </w:rPr>
      </w:pPr>
      <w:r w:rsidRPr="009671A9">
        <w:rPr>
          <w:rFonts w:asciiTheme="majorHAnsi" w:hAnsiTheme="majorHAnsi"/>
          <w:sz w:val="24"/>
          <w:szCs w:val="24"/>
        </w:rPr>
        <w:t xml:space="preserve">gli interventi di realizzazione della rete pubblica nelle “aree bianche” (a fallimento di mercato) previste nel </w:t>
      </w:r>
      <w:r w:rsidRPr="009671A9">
        <w:rPr>
          <w:rFonts w:asciiTheme="majorHAnsi" w:hAnsiTheme="majorHAnsi"/>
          <w:b/>
          <w:bCs/>
          <w:i/>
          <w:iCs/>
          <w:sz w:val="24"/>
          <w:szCs w:val="24"/>
        </w:rPr>
        <w:t>Piano Banda Ultra Larga</w:t>
      </w:r>
      <w:r w:rsidRPr="009671A9">
        <w:rPr>
          <w:rFonts w:asciiTheme="majorHAnsi" w:hAnsiTheme="majorHAnsi"/>
          <w:sz w:val="24"/>
          <w:szCs w:val="24"/>
        </w:rPr>
        <w:t xml:space="preserve"> sono in corso, ma scontano un ritardo notevole: secondo gli ultimi aggiornamenti al Piano  l’obiettivo di coprire l’intera popolazione avverrà non prima del 2023, rispetto al 2020 come inizialmente previsto. Bisogna dunque accelerare i lavori, e al tempo </w:t>
      </w:r>
      <w:r w:rsidRPr="009671A9">
        <w:rPr>
          <w:rFonts w:asciiTheme="majorHAnsi" w:hAnsiTheme="majorHAnsi"/>
          <w:b/>
          <w:bCs/>
          <w:sz w:val="24"/>
          <w:szCs w:val="24"/>
        </w:rPr>
        <w:t>stesso fornire indicazioni chiare e certe ai Comuni sui tempi di chiusura dei cantieri e sulla reale attivazione del servizio;</w:t>
      </w:r>
    </w:p>
    <w:p w14:paraId="4ED68185" w14:textId="77777777" w:rsidR="00AC02B1" w:rsidRPr="009671A9" w:rsidRDefault="00AC02B1" w:rsidP="00AC02B1">
      <w:pPr>
        <w:pStyle w:val="Paragrafoelenco"/>
        <w:numPr>
          <w:ilvl w:val="1"/>
          <w:numId w:val="9"/>
        </w:numPr>
        <w:spacing w:after="120" w:line="240" w:lineRule="auto"/>
        <w:ind w:left="993" w:hanging="284"/>
        <w:jc w:val="both"/>
        <w:rPr>
          <w:rFonts w:asciiTheme="majorHAnsi" w:hAnsiTheme="majorHAnsi"/>
          <w:sz w:val="24"/>
          <w:szCs w:val="24"/>
        </w:rPr>
      </w:pPr>
      <w:r w:rsidRPr="009671A9">
        <w:rPr>
          <w:rFonts w:asciiTheme="majorHAnsi" w:hAnsiTheme="majorHAnsi"/>
          <w:sz w:val="24"/>
          <w:szCs w:val="24"/>
        </w:rPr>
        <w:t xml:space="preserve">parimenti, bisogna attivare immediatamente la seconda fase del Piano già deliberata dal Cobul, che riguarda le  </w:t>
      </w:r>
      <w:r w:rsidRPr="009671A9">
        <w:rPr>
          <w:rFonts w:asciiTheme="majorHAnsi" w:hAnsiTheme="majorHAnsi"/>
          <w:b/>
          <w:bCs/>
          <w:sz w:val="24"/>
          <w:szCs w:val="24"/>
        </w:rPr>
        <w:t xml:space="preserve">c.d. “aree grigie”, </w:t>
      </w:r>
      <w:r w:rsidRPr="009671A9">
        <w:rPr>
          <w:rFonts w:asciiTheme="majorHAnsi" w:hAnsiTheme="majorHAnsi"/>
          <w:sz w:val="24"/>
          <w:szCs w:val="24"/>
        </w:rPr>
        <w:t>dove sono dislocati la gran parte dei distretti industriali del Paese,</w:t>
      </w:r>
      <w:r w:rsidRPr="009671A9">
        <w:rPr>
          <w:rFonts w:asciiTheme="majorHAnsi" w:hAnsiTheme="majorHAnsi"/>
          <w:b/>
          <w:bCs/>
          <w:sz w:val="24"/>
          <w:szCs w:val="24"/>
        </w:rPr>
        <w:t xml:space="preserve"> </w:t>
      </w:r>
      <w:r w:rsidRPr="009671A9">
        <w:rPr>
          <w:rFonts w:asciiTheme="majorHAnsi" w:hAnsiTheme="majorHAnsi"/>
          <w:sz w:val="24"/>
          <w:szCs w:val="24"/>
        </w:rPr>
        <w:t>e mettere a disposizione i</w:t>
      </w:r>
      <w:r w:rsidRPr="009671A9">
        <w:rPr>
          <w:rFonts w:asciiTheme="majorHAnsi" w:hAnsiTheme="majorHAnsi"/>
          <w:b/>
          <w:bCs/>
          <w:sz w:val="24"/>
          <w:szCs w:val="24"/>
        </w:rPr>
        <w:t xml:space="preserve"> voucher </w:t>
      </w:r>
      <w:r w:rsidRPr="009671A9">
        <w:rPr>
          <w:rFonts w:asciiTheme="majorHAnsi" w:hAnsiTheme="majorHAnsi"/>
          <w:sz w:val="24"/>
          <w:szCs w:val="24"/>
        </w:rPr>
        <w:t>per gli abbonamenti a Internet</w:t>
      </w:r>
      <w:r w:rsidRPr="009671A9">
        <w:rPr>
          <w:rFonts w:asciiTheme="majorHAnsi" w:hAnsiTheme="majorHAnsi"/>
          <w:b/>
          <w:bCs/>
          <w:sz w:val="24"/>
          <w:szCs w:val="24"/>
        </w:rPr>
        <w:t xml:space="preserve">. </w:t>
      </w:r>
      <w:r w:rsidRPr="009671A9">
        <w:rPr>
          <w:rFonts w:asciiTheme="majorHAnsi" w:hAnsiTheme="majorHAnsi"/>
          <w:sz w:val="24"/>
          <w:szCs w:val="24"/>
        </w:rPr>
        <w:t xml:space="preserve">Rispetto a questo, </w:t>
      </w:r>
      <w:r w:rsidRPr="009671A9">
        <w:rPr>
          <w:rFonts w:asciiTheme="majorHAnsi" w:hAnsiTheme="majorHAnsi"/>
          <w:b/>
          <w:bCs/>
          <w:sz w:val="24"/>
          <w:szCs w:val="24"/>
        </w:rPr>
        <w:t>l’ANCI ribadisce la richiesta di un meccanismo a intensità differenziata dei voucher in base alle aree di residenza dei cittadini</w:t>
      </w:r>
      <w:r w:rsidRPr="009671A9">
        <w:rPr>
          <w:rFonts w:asciiTheme="majorHAnsi" w:hAnsiTheme="majorHAnsi"/>
          <w:sz w:val="24"/>
          <w:szCs w:val="24"/>
        </w:rPr>
        <w:t>, in modo da supportare maggiormente quelli che abitano nelle aree interne e  nei piccoli Comuni;</w:t>
      </w:r>
    </w:p>
    <w:p w14:paraId="593F1F94" w14:textId="77777777" w:rsidR="00AC02B1" w:rsidRPr="009671A9" w:rsidRDefault="00AC02B1" w:rsidP="00AC02B1">
      <w:pPr>
        <w:jc w:val="both"/>
        <w:rPr>
          <w:rFonts w:asciiTheme="majorHAnsi" w:hAnsiTheme="majorHAnsi"/>
          <w:sz w:val="24"/>
          <w:szCs w:val="24"/>
        </w:rPr>
      </w:pPr>
      <w:r w:rsidRPr="009671A9">
        <w:rPr>
          <w:rFonts w:asciiTheme="majorHAnsi" w:eastAsia="Bookman Old Style" w:hAnsiTheme="majorHAnsi" w:cs="Bookman Old Style"/>
          <w:sz w:val="24"/>
          <w:szCs w:val="24"/>
        </w:rPr>
        <w:t xml:space="preserve">Sul </w:t>
      </w:r>
      <w:r w:rsidRPr="009671A9">
        <w:rPr>
          <w:rFonts w:asciiTheme="majorHAnsi" w:eastAsia="Bookman Old Style" w:hAnsiTheme="majorHAnsi" w:cs="Bookman Old Style"/>
          <w:b/>
          <w:sz w:val="24"/>
          <w:szCs w:val="24"/>
        </w:rPr>
        <w:t>5G</w:t>
      </w:r>
      <w:r w:rsidRPr="009671A9">
        <w:rPr>
          <w:rFonts w:asciiTheme="majorHAnsi" w:eastAsia="Bookman Old Style" w:hAnsiTheme="majorHAnsi" w:cs="Bookman Old Style"/>
          <w:sz w:val="24"/>
          <w:szCs w:val="24"/>
        </w:rPr>
        <w:t xml:space="preserve">, che possiede le potenzialità per rivoluzionare </w:t>
      </w:r>
      <w:r w:rsidRPr="009671A9">
        <w:rPr>
          <w:rFonts w:asciiTheme="majorHAnsi" w:hAnsiTheme="majorHAnsi"/>
          <w:sz w:val="24"/>
          <w:szCs w:val="24"/>
        </w:rPr>
        <w:t>il mondo dei servizi digitali</w:t>
      </w:r>
      <w:r w:rsidRPr="009671A9">
        <w:rPr>
          <w:rFonts w:asciiTheme="majorHAnsi" w:hAnsiTheme="majorHAnsi"/>
          <w:b/>
          <w:bCs/>
          <w:sz w:val="24"/>
          <w:szCs w:val="24"/>
        </w:rPr>
        <w:t xml:space="preserve">, </w:t>
      </w:r>
      <w:r w:rsidRPr="009671A9">
        <w:rPr>
          <w:rFonts w:asciiTheme="majorHAnsi" w:hAnsiTheme="majorHAnsi"/>
          <w:bCs/>
          <w:sz w:val="24"/>
          <w:szCs w:val="24"/>
        </w:rPr>
        <w:t>a partire da quelli a servizio dei territori</w:t>
      </w:r>
      <w:r w:rsidRPr="009671A9">
        <w:rPr>
          <w:rFonts w:asciiTheme="majorHAnsi" w:hAnsiTheme="majorHAnsi"/>
          <w:sz w:val="24"/>
          <w:szCs w:val="24"/>
        </w:rPr>
        <w:t xml:space="preserve"> (medicina a distanza, teleassistenza, controllo delle reti energetiche, agricoltura avanzata, monitoraggio ambientale, sistemi di allerta della popolazione), bisogna attivare al più presto </w:t>
      </w:r>
      <w:r w:rsidRPr="009671A9">
        <w:rPr>
          <w:rFonts w:asciiTheme="majorHAnsi" w:hAnsiTheme="majorHAnsi"/>
          <w:b/>
          <w:bCs/>
          <w:sz w:val="24"/>
          <w:szCs w:val="24"/>
        </w:rPr>
        <w:t>una campagna informativa istituzionale basata su dati scientifici</w:t>
      </w:r>
      <w:r w:rsidRPr="009671A9">
        <w:rPr>
          <w:rFonts w:asciiTheme="majorHAnsi" w:hAnsiTheme="majorHAnsi"/>
          <w:sz w:val="24"/>
          <w:szCs w:val="24"/>
        </w:rPr>
        <w:t xml:space="preserve">, che veda coinvolti tutti gli attori interessati in materia, a partire dai Ministeri dell’Innovazione, dello Sviluppo Economico, della Salute e dell’Ambiente. Questo al fine di </w:t>
      </w:r>
      <w:r w:rsidRPr="009671A9">
        <w:rPr>
          <w:rFonts w:asciiTheme="majorHAnsi" w:hAnsiTheme="majorHAnsi"/>
          <w:b/>
          <w:bCs/>
          <w:sz w:val="24"/>
          <w:szCs w:val="24"/>
        </w:rPr>
        <w:t>mettere i Sindaci nelle condizioni di rispondere in maniera informata alle preoccupazioni dei cittadini</w:t>
      </w:r>
      <w:r w:rsidRPr="009671A9">
        <w:rPr>
          <w:rFonts w:asciiTheme="majorHAnsi" w:hAnsiTheme="majorHAnsi"/>
          <w:sz w:val="24"/>
          <w:szCs w:val="24"/>
        </w:rPr>
        <w:t xml:space="preserve"> sul rischio di inquinamento elettromagnetico e di attuare le scelte più giuste per lo sviluppo dei territori amministrati. In generale, va aperta una </w:t>
      </w:r>
      <w:r w:rsidRPr="009671A9">
        <w:rPr>
          <w:rFonts w:asciiTheme="majorHAnsi" w:hAnsiTheme="majorHAnsi"/>
          <w:b/>
          <w:bCs/>
          <w:sz w:val="24"/>
          <w:szCs w:val="24"/>
        </w:rPr>
        <w:t>discussione sulle attuali competenze comunali in tema di dislocazione degli impianti</w:t>
      </w:r>
      <w:r w:rsidRPr="009671A9">
        <w:rPr>
          <w:rFonts w:asciiTheme="majorHAnsi" w:hAnsiTheme="majorHAnsi"/>
          <w:sz w:val="24"/>
          <w:szCs w:val="24"/>
        </w:rPr>
        <w:t xml:space="preserve">, per verificarne l’efficacia nell’ottica della tutela degli interessi pubblici generali, evitando pulsioni centralistiche che, nei fatti, non farebbero che rallentare ulteriormente lo sviluppo delle reti. </w:t>
      </w:r>
    </w:p>
    <w:p w14:paraId="3C4BF84B" w14:textId="2DF78AE1" w:rsidR="00AC02B1" w:rsidRPr="009671A9" w:rsidRDefault="00AC02B1" w:rsidP="00AC02B1">
      <w:pPr>
        <w:jc w:val="both"/>
        <w:rPr>
          <w:rFonts w:asciiTheme="majorHAnsi" w:hAnsiTheme="majorHAnsi"/>
          <w:sz w:val="24"/>
          <w:szCs w:val="24"/>
        </w:rPr>
      </w:pPr>
      <w:r w:rsidRPr="009671A9">
        <w:rPr>
          <w:rFonts w:asciiTheme="majorHAnsi" w:hAnsiTheme="majorHAnsi"/>
          <w:sz w:val="24"/>
          <w:szCs w:val="24"/>
        </w:rPr>
        <w:t xml:space="preserve">La seconda infrastruttura digitale sulla quale investire è un solido </w:t>
      </w:r>
      <w:r w:rsidRPr="009671A9">
        <w:rPr>
          <w:rFonts w:asciiTheme="majorHAnsi" w:hAnsiTheme="majorHAnsi"/>
          <w:b/>
          <w:sz w:val="24"/>
          <w:szCs w:val="24"/>
        </w:rPr>
        <w:t>sistema di gestione della conoscenza – basato sulla gestione dei dati e la tracciabilità dei flussi - a disposizione dei governi locali</w:t>
      </w:r>
      <w:r w:rsidRPr="009671A9">
        <w:rPr>
          <w:rFonts w:asciiTheme="majorHAnsi" w:hAnsiTheme="majorHAnsi"/>
          <w:sz w:val="24"/>
          <w:szCs w:val="24"/>
        </w:rPr>
        <w:t xml:space="preserve">. </w:t>
      </w:r>
      <w:r w:rsidR="009671A9">
        <w:rPr>
          <w:rFonts w:asciiTheme="majorHAnsi" w:hAnsiTheme="majorHAnsi"/>
          <w:sz w:val="24"/>
          <w:szCs w:val="24"/>
        </w:rPr>
        <w:t xml:space="preserve"> </w:t>
      </w:r>
      <w:r w:rsidRPr="009671A9">
        <w:rPr>
          <w:rFonts w:asciiTheme="majorHAnsi" w:hAnsiTheme="majorHAnsi"/>
          <w:sz w:val="24"/>
          <w:szCs w:val="24"/>
        </w:rPr>
        <w:t xml:space="preserve">Nell’affrontare la crisi sanitaria le amministrazioni locali hanno riscontrato una difficoltà enorme ad avere a disposizione informazioni  affidabili, granulari e utilizzabili – nel rispetto della privacy degli individui - sul target dei “soggetti contagiati”, con la conseguente difficoltà ad approntare misure adeguate rispetto alla situazione. Anche se, attualmente, quello socio-sanitario è inevitabilmente quello più importante, esso costituisce </w:t>
      </w:r>
      <w:r w:rsidRPr="009671A9">
        <w:rPr>
          <w:rFonts w:asciiTheme="majorHAnsi" w:hAnsiTheme="majorHAnsi"/>
          <w:sz w:val="24"/>
          <w:szCs w:val="24"/>
        </w:rPr>
        <w:lastRenderedPageBreak/>
        <w:t xml:space="preserve">solo uno dei </w:t>
      </w:r>
      <w:r w:rsidRPr="009671A9">
        <w:rPr>
          <w:rFonts w:asciiTheme="majorHAnsi" w:hAnsiTheme="majorHAnsi"/>
          <w:b/>
          <w:sz w:val="24"/>
          <w:szCs w:val="24"/>
        </w:rPr>
        <w:t>tanti campi in cui l’agire amministrativo viene limitato o compromesso da una mancata o parziale disponibilità e/o utilizzo di dati di analisi</w:t>
      </w:r>
      <w:r w:rsidRPr="009671A9">
        <w:rPr>
          <w:rFonts w:asciiTheme="majorHAnsi" w:hAnsiTheme="majorHAnsi"/>
          <w:sz w:val="24"/>
          <w:szCs w:val="24"/>
        </w:rPr>
        <w:t xml:space="preserve">. Ambiti quali la mobilità, i sistemi di welfare, la gestione dei rifiuti, il supporto alle attività produttive, il controllo del territorio devono poter essere programmati e gestiti sulla base di sistemi digitali di lettura e analisi dei fenomeni, che possano orientare nella maniera più efficace e efficiente possibile le scelte politico-amministrative. È, pertanto, </w:t>
      </w:r>
      <w:r w:rsidRPr="009671A9">
        <w:rPr>
          <w:rFonts w:asciiTheme="majorHAnsi" w:hAnsiTheme="majorHAnsi"/>
          <w:b/>
          <w:sz w:val="24"/>
          <w:szCs w:val="24"/>
        </w:rPr>
        <w:t>necessario mettere a disposizione di ogni Comune</w:t>
      </w:r>
      <w:r w:rsidRPr="009671A9">
        <w:rPr>
          <w:rFonts w:asciiTheme="majorHAnsi" w:hAnsiTheme="majorHAnsi"/>
          <w:sz w:val="24"/>
          <w:szCs w:val="24"/>
        </w:rPr>
        <w:t xml:space="preserve"> – in maniera gratuita e attraverso protocolli automatizzati, superando la logica delle convenzioni uno a uno - </w:t>
      </w:r>
      <w:r w:rsidRPr="009671A9">
        <w:rPr>
          <w:rFonts w:asciiTheme="majorHAnsi" w:hAnsiTheme="majorHAnsi"/>
          <w:b/>
          <w:sz w:val="24"/>
          <w:szCs w:val="24"/>
        </w:rPr>
        <w:t>una serie di fonti informative di diversa provenienza (non solo pubblica) relative ai maggiori fenomeni di interesse collettivo che riguardano il proprio territorio amministrato</w:t>
      </w:r>
      <w:r w:rsidRPr="009671A9">
        <w:rPr>
          <w:rFonts w:asciiTheme="majorHAnsi" w:hAnsiTheme="majorHAnsi"/>
          <w:sz w:val="24"/>
          <w:szCs w:val="24"/>
        </w:rPr>
        <w:t>. La fase post-emergenziale deve dunque essere il momento in cui:</w:t>
      </w:r>
    </w:p>
    <w:p w14:paraId="49812EC9" w14:textId="77777777" w:rsidR="00AC02B1" w:rsidRPr="009671A9" w:rsidRDefault="00AC02B1" w:rsidP="00AC02B1">
      <w:pPr>
        <w:pStyle w:val="Paragrafoelenco"/>
        <w:numPr>
          <w:ilvl w:val="1"/>
          <w:numId w:val="9"/>
        </w:numPr>
        <w:spacing w:after="120" w:line="240" w:lineRule="auto"/>
        <w:ind w:left="993" w:hanging="284"/>
        <w:jc w:val="both"/>
        <w:rPr>
          <w:rFonts w:asciiTheme="majorHAnsi" w:hAnsiTheme="majorHAnsi"/>
          <w:sz w:val="24"/>
          <w:szCs w:val="24"/>
        </w:rPr>
      </w:pPr>
      <w:r w:rsidRPr="009671A9">
        <w:rPr>
          <w:rFonts w:asciiTheme="majorHAnsi" w:hAnsiTheme="majorHAnsi"/>
          <w:b/>
          <w:sz w:val="24"/>
          <w:szCs w:val="24"/>
        </w:rPr>
        <w:t>costruire una grande infrastruttura dati nazionale pubblica</w:t>
      </w:r>
      <w:r w:rsidRPr="009671A9">
        <w:rPr>
          <w:rFonts w:asciiTheme="majorHAnsi" w:hAnsiTheme="majorHAnsi"/>
          <w:sz w:val="24"/>
          <w:szCs w:val="24"/>
        </w:rPr>
        <w:t xml:space="preserve"> basata su sistemi di calcolo e rappresentazione geografica avanzati e big data;</w:t>
      </w:r>
    </w:p>
    <w:p w14:paraId="7BECB12E" w14:textId="77777777" w:rsidR="00AC02B1" w:rsidRPr="009671A9" w:rsidRDefault="00AC02B1" w:rsidP="00AC02B1">
      <w:pPr>
        <w:pStyle w:val="Paragrafoelenco"/>
        <w:numPr>
          <w:ilvl w:val="1"/>
          <w:numId w:val="9"/>
        </w:numPr>
        <w:spacing w:after="120" w:line="240" w:lineRule="auto"/>
        <w:ind w:left="993" w:hanging="284"/>
        <w:jc w:val="both"/>
        <w:rPr>
          <w:rFonts w:asciiTheme="majorHAnsi" w:hAnsiTheme="majorHAnsi"/>
          <w:sz w:val="24"/>
          <w:szCs w:val="24"/>
        </w:rPr>
      </w:pPr>
      <w:r w:rsidRPr="009671A9">
        <w:rPr>
          <w:rFonts w:asciiTheme="majorHAnsi" w:hAnsiTheme="majorHAnsi"/>
          <w:sz w:val="24"/>
          <w:szCs w:val="24"/>
        </w:rPr>
        <w:t xml:space="preserve">definire delle </w:t>
      </w:r>
      <w:r w:rsidRPr="009671A9">
        <w:rPr>
          <w:rFonts w:asciiTheme="majorHAnsi" w:hAnsiTheme="majorHAnsi"/>
          <w:b/>
          <w:sz w:val="24"/>
          <w:szCs w:val="24"/>
        </w:rPr>
        <w:t>alleanze strutturali con i grandi player dell’IT</w:t>
      </w:r>
      <w:r w:rsidRPr="009671A9">
        <w:rPr>
          <w:rFonts w:asciiTheme="majorHAnsi" w:hAnsiTheme="majorHAnsi"/>
          <w:sz w:val="24"/>
          <w:szCs w:val="24"/>
        </w:rPr>
        <w:t>, affinché il patrimonio di informazioni in loro possesso possa essere messo a disposizione delle autorità pubbliche deputate all’erogazione dei servizi.</w:t>
      </w:r>
    </w:p>
    <w:p w14:paraId="42561B96" w14:textId="77777777" w:rsidR="00AC02B1" w:rsidRPr="009671A9" w:rsidRDefault="00AC02B1" w:rsidP="00AC02B1">
      <w:pPr>
        <w:rPr>
          <w:rFonts w:asciiTheme="majorHAnsi" w:hAnsiTheme="majorHAnsi"/>
          <w:sz w:val="24"/>
          <w:szCs w:val="24"/>
        </w:rPr>
      </w:pPr>
    </w:p>
    <w:p w14:paraId="4C94E031" w14:textId="635BF203" w:rsidR="00EE4148" w:rsidRPr="009671A9" w:rsidRDefault="00EE4148" w:rsidP="00EE4148">
      <w:pPr>
        <w:jc w:val="both"/>
        <w:rPr>
          <w:rFonts w:asciiTheme="majorHAnsi" w:hAnsiTheme="majorHAnsi"/>
          <w:b/>
          <w:bCs/>
          <w:sz w:val="24"/>
          <w:szCs w:val="24"/>
          <w:u w:val="single"/>
        </w:rPr>
      </w:pPr>
      <w:r w:rsidRPr="009671A9">
        <w:rPr>
          <w:rFonts w:asciiTheme="majorHAnsi" w:eastAsia="Bookman Old Style" w:hAnsiTheme="majorHAnsi" w:cs="Bookman Old Style"/>
          <w:b/>
          <w:bCs/>
          <w:sz w:val="24"/>
          <w:szCs w:val="24"/>
          <w:u w:val="single"/>
        </w:rPr>
        <w:t xml:space="preserve">Un caso speciale i Comuni e il </w:t>
      </w:r>
      <w:r w:rsidR="00085DC3" w:rsidRPr="009671A9">
        <w:rPr>
          <w:rFonts w:asciiTheme="majorHAnsi" w:eastAsia="Bookman Old Style" w:hAnsiTheme="majorHAnsi" w:cs="Bookman Old Style"/>
          <w:b/>
          <w:bCs/>
          <w:sz w:val="24"/>
          <w:szCs w:val="24"/>
          <w:u w:val="single"/>
        </w:rPr>
        <w:t>turismo</w:t>
      </w:r>
      <w:r w:rsidRPr="009671A9">
        <w:rPr>
          <w:rFonts w:asciiTheme="majorHAnsi" w:eastAsia="Bookman Old Style" w:hAnsiTheme="majorHAnsi" w:cs="Bookman Old Style"/>
          <w:b/>
          <w:bCs/>
          <w:sz w:val="24"/>
          <w:szCs w:val="24"/>
          <w:u w:val="single"/>
        </w:rPr>
        <w:t xml:space="preserve">. </w:t>
      </w:r>
      <w:bookmarkStart w:id="1" w:name="_Toc42609811"/>
      <w:r w:rsidRPr="009671A9">
        <w:rPr>
          <w:rFonts w:asciiTheme="majorHAnsi" w:hAnsiTheme="majorHAnsi"/>
          <w:b/>
          <w:bCs/>
          <w:sz w:val="24"/>
          <w:szCs w:val="24"/>
          <w:u w:val="single"/>
        </w:rPr>
        <w:t xml:space="preserve"> </w:t>
      </w:r>
      <w:r w:rsidRPr="009671A9">
        <w:rPr>
          <w:rFonts w:asciiTheme="majorHAnsi" w:hAnsiTheme="majorHAnsi"/>
          <w:sz w:val="24"/>
          <w:szCs w:val="24"/>
        </w:rPr>
        <w:t xml:space="preserve">Il dato del </w:t>
      </w:r>
      <w:r w:rsidRPr="009671A9">
        <w:rPr>
          <w:rFonts w:asciiTheme="majorHAnsi" w:hAnsiTheme="majorHAnsi"/>
          <w:b/>
          <w:bCs/>
          <w:sz w:val="24"/>
          <w:szCs w:val="24"/>
        </w:rPr>
        <w:t>concorso del turismo al Prodotto Interno Lordo nazionale è noto e corrisponde al 13% pari a 232 MLD di Euro.</w:t>
      </w:r>
      <w:r w:rsidRPr="009671A9">
        <w:rPr>
          <w:rFonts w:asciiTheme="majorHAnsi" w:hAnsiTheme="majorHAnsi"/>
          <w:b/>
          <w:bCs/>
          <w:sz w:val="24"/>
          <w:szCs w:val="24"/>
          <w:u w:val="single"/>
        </w:rPr>
        <w:t xml:space="preserve"> </w:t>
      </w:r>
      <w:r w:rsidRPr="009671A9">
        <w:rPr>
          <w:rFonts w:asciiTheme="majorHAnsi" w:hAnsiTheme="majorHAnsi"/>
          <w:sz w:val="24"/>
          <w:szCs w:val="24"/>
        </w:rPr>
        <w:t xml:space="preserve">Sono </w:t>
      </w:r>
      <w:r w:rsidRPr="009671A9">
        <w:rPr>
          <w:rFonts w:asciiTheme="majorHAnsi" w:hAnsiTheme="majorHAnsi"/>
          <w:b/>
          <w:bCs/>
          <w:sz w:val="24"/>
          <w:szCs w:val="24"/>
        </w:rPr>
        <w:t>4,2 milioni  gli occupati (diretti) nel turismo</w:t>
      </w:r>
      <w:r w:rsidRPr="009671A9">
        <w:rPr>
          <w:rFonts w:asciiTheme="majorHAnsi" w:hAnsiTheme="majorHAnsi"/>
          <w:sz w:val="24"/>
          <w:szCs w:val="24"/>
        </w:rPr>
        <w:t xml:space="preserve">, dato per il quale l’Italia è la prima in Europa.  Al “turismo” in senso stretto sono ovviamente collegate intere filiere che non stiamo qui ad indicare. Sempre il Turismo è </w:t>
      </w:r>
      <w:r w:rsidRPr="009671A9">
        <w:rPr>
          <w:rFonts w:asciiTheme="majorHAnsi" w:hAnsiTheme="majorHAnsi"/>
          <w:sz w:val="24"/>
          <w:szCs w:val="24"/>
          <w:u w:val="single"/>
        </w:rPr>
        <w:t>stato fino al 2019 un settore in crescita</w:t>
      </w:r>
      <w:r w:rsidRPr="009671A9">
        <w:rPr>
          <w:rFonts w:asciiTheme="majorHAnsi" w:hAnsiTheme="majorHAnsi"/>
          <w:sz w:val="24"/>
          <w:szCs w:val="24"/>
        </w:rPr>
        <w:t xml:space="preserve"> con un +6,6% di spesa internazionale sull’Italia alla quale è corrisposto un +5,8% di arrivi internazionali su un complessivo +4% di crescita di passeggeri aeroportuali totali (fonte Enit). Le entrate dovute al turismo rappresentano circa il 40% delle esportazioni di servizi, con un contributo strutturalmente positivo alla bilancia commerciale (fonte Banca d’Italia).</w:t>
      </w:r>
    </w:p>
    <w:p w14:paraId="59012DDA" w14:textId="61F94CB2" w:rsidR="00EE4148" w:rsidRPr="009671A9" w:rsidRDefault="00EE4148" w:rsidP="00EE4148">
      <w:pPr>
        <w:jc w:val="both"/>
        <w:rPr>
          <w:rFonts w:asciiTheme="majorHAnsi" w:hAnsiTheme="majorHAnsi"/>
          <w:sz w:val="24"/>
          <w:szCs w:val="24"/>
        </w:rPr>
      </w:pPr>
      <w:r w:rsidRPr="009671A9">
        <w:rPr>
          <w:rFonts w:asciiTheme="majorHAnsi" w:hAnsiTheme="majorHAnsi"/>
          <w:sz w:val="24"/>
          <w:szCs w:val="24"/>
        </w:rPr>
        <w:t xml:space="preserve"> Il contributo largamente maggioritario a questi risultati è dato: dalle Città con particolare concentrazione di beni artistici monumentali e museali; dalle Città sede di hub aeroportuali internazionali e con forte presenza di terziario avanzato,  di quartieri Fieristici e Congressuali di rilevanza internazionale; dalle destinazioni legate alla vacanza e al tempo libero, ovvero prevalentemente i distretti turistici Montani e Balneari che "producono" ancora ad oggi la buona parte del movimento turistico.</w:t>
      </w:r>
    </w:p>
    <w:bookmarkEnd w:id="1"/>
    <w:p w14:paraId="1D48E455" w14:textId="70E5094D" w:rsidR="00EE4148" w:rsidRPr="009671A9" w:rsidRDefault="00EE4148" w:rsidP="00EE4148">
      <w:pPr>
        <w:shd w:val="clear" w:color="auto" w:fill="FFFFFF"/>
        <w:spacing w:after="120"/>
        <w:jc w:val="both"/>
        <w:rPr>
          <w:rFonts w:asciiTheme="majorHAnsi" w:hAnsiTheme="majorHAnsi"/>
          <w:sz w:val="24"/>
          <w:szCs w:val="24"/>
        </w:rPr>
      </w:pPr>
      <w:r w:rsidRPr="009671A9">
        <w:rPr>
          <w:rFonts w:asciiTheme="majorHAnsi" w:hAnsiTheme="majorHAnsi"/>
          <w:sz w:val="24"/>
          <w:szCs w:val="24"/>
        </w:rPr>
        <w:t xml:space="preserve">La strategia di rilancio del comparto per essere efficace dovrà riuscire a coinvolgere tutte le componenti - istituzionali e non - che operano nel campo del turismo. Crediamo che i Comuni in questa fase possano svolgere un ruolo importante per implementare, nella maniera più adeguata, tale strategia a livello locale. A tal fine, </w:t>
      </w:r>
      <w:r w:rsidR="00ED34D4" w:rsidRPr="009671A9">
        <w:rPr>
          <w:rFonts w:asciiTheme="majorHAnsi" w:hAnsiTheme="majorHAnsi"/>
          <w:sz w:val="24"/>
          <w:szCs w:val="24"/>
        </w:rPr>
        <w:t>alcune proposte</w:t>
      </w:r>
      <w:r w:rsidRPr="009671A9">
        <w:rPr>
          <w:rFonts w:asciiTheme="majorHAnsi" w:hAnsiTheme="majorHAnsi"/>
          <w:sz w:val="24"/>
          <w:szCs w:val="24"/>
        </w:rPr>
        <w:t xml:space="preserve">: </w:t>
      </w:r>
    </w:p>
    <w:p w14:paraId="106C4615" w14:textId="3A44CAB4" w:rsidR="00EE4148" w:rsidRPr="009671A9" w:rsidRDefault="00EE4148" w:rsidP="00EE4148">
      <w:pPr>
        <w:shd w:val="clear" w:color="auto" w:fill="FFFFFF"/>
        <w:spacing w:after="120"/>
        <w:jc w:val="both"/>
        <w:rPr>
          <w:rFonts w:asciiTheme="majorHAnsi" w:hAnsiTheme="majorHAnsi"/>
          <w:sz w:val="24"/>
          <w:szCs w:val="24"/>
        </w:rPr>
      </w:pPr>
      <w:r w:rsidRPr="009671A9">
        <w:rPr>
          <w:rFonts w:asciiTheme="majorHAnsi" w:hAnsiTheme="majorHAnsi"/>
          <w:sz w:val="24"/>
          <w:szCs w:val="24"/>
        </w:rPr>
        <w:t xml:space="preserve">1 – </w:t>
      </w:r>
      <w:r w:rsidRPr="009671A9">
        <w:rPr>
          <w:rFonts w:asciiTheme="majorHAnsi" w:hAnsiTheme="majorHAnsi"/>
          <w:b/>
          <w:bCs/>
          <w:sz w:val="24"/>
          <w:szCs w:val="24"/>
        </w:rPr>
        <w:t xml:space="preserve">Istituzione delle zone </w:t>
      </w:r>
      <w:r w:rsidR="009671A9">
        <w:rPr>
          <w:rFonts w:asciiTheme="majorHAnsi" w:hAnsiTheme="majorHAnsi"/>
          <w:b/>
          <w:bCs/>
          <w:sz w:val="24"/>
          <w:szCs w:val="24"/>
        </w:rPr>
        <w:t>blu</w:t>
      </w:r>
      <w:r w:rsidRPr="009671A9">
        <w:rPr>
          <w:rFonts w:asciiTheme="majorHAnsi" w:hAnsiTheme="majorHAnsi"/>
          <w:b/>
          <w:bCs/>
          <w:sz w:val="24"/>
          <w:szCs w:val="24"/>
        </w:rPr>
        <w:t xml:space="preserve"> economiche</w:t>
      </w:r>
      <w:r w:rsidRPr="009671A9">
        <w:rPr>
          <w:rFonts w:asciiTheme="majorHAnsi" w:hAnsiTheme="majorHAnsi"/>
          <w:sz w:val="24"/>
          <w:szCs w:val="24"/>
        </w:rPr>
        <w:t>. I</w:t>
      </w:r>
      <w:r w:rsidRPr="009671A9">
        <w:rPr>
          <w:rFonts w:asciiTheme="majorHAnsi" w:hAnsiTheme="majorHAnsi"/>
          <w:sz w:val="24"/>
          <w:szCs w:val="24"/>
          <w:u w:val="single"/>
        </w:rPr>
        <w:t xml:space="preserve"> Comuni la cui economia è fortemente, o addirittura prioritariamente, incardinata sul settore turistico</w:t>
      </w:r>
      <w:r w:rsidRPr="009671A9">
        <w:rPr>
          <w:rFonts w:asciiTheme="majorHAnsi" w:hAnsiTheme="majorHAnsi"/>
          <w:sz w:val="24"/>
          <w:szCs w:val="24"/>
        </w:rPr>
        <w:t xml:space="preserve"> (che può rappresentare anche il 30,40,60,90% del PIL locale)  devono essere titolate ad intervenire adottando in autonomia agevolazioni, incentivi, fiscali e non in modo da adottaremisure mirate a tutela del settore.</w:t>
      </w:r>
    </w:p>
    <w:p w14:paraId="5885EACF" w14:textId="6778FB5F" w:rsidR="00EE4148" w:rsidRPr="009671A9" w:rsidRDefault="00EE4148" w:rsidP="00EE4148">
      <w:pPr>
        <w:jc w:val="both"/>
        <w:rPr>
          <w:rFonts w:asciiTheme="majorHAnsi" w:hAnsiTheme="majorHAnsi"/>
          <w:sz w:val="24"/>
          <w:szCs w:val="24"/>
        </w:rPr>
      </w:pPr>
      <w:r w:rsidRPr="009671A9">
        <w:rPr>
          <w:rFonts w:asciiTheme="majorHAnsi" w:hAnsiTheme="majorHAnsi"/>
          <w:sz w:val="24"/>
          <w:szCs w:val="24"/>
        </w:rPr>
        <w:lastRenderedPageBreak/>
        <w:t xml:space="preserve">2 - </w:t>
      </w:r>
      <w:r w:rsidRPr="009671A9">
        <w:rPr>
          <w:rFonts w:asciiTheme="majorHAnsi" w:hAnsiTheme="majorHAnsi"/>
          <w:b/>
          <w:bCs/>
          <w:sz w:val="24"/>
          <w:szCs w:val="24"/>
        </w:rPr>
        <w:t>Rilancio del brand Italia e redazione di un Piano di comunicazione di area vasta</w:t>
      </w:r>
      <w:r w:rsidRPr="009671A9">
        <w:rPr>
          <w:rFonts w:asciiTheme="majorHAnsi" w:hAnsiTheme="majorHAnsi"/>
          <w:sz w:val="24"/>
          <w:szCs w:val="24"/>
        </w:rPr>
        <w:t xml:space="preserve">. Riteniamo essenziale lavorare in sintonia ad un </w:t>
      </w:r>
      <w:r w:rsidRPr="009671A9">
        <w:rPr>
          <w:rFonts w:asciiTheme="majorHAnsi" w:hAnsiTheme="majorHAnsi"/>
          <w:sz w:val="24"/>
          <w:szCs w:val="24"/>
          <w:u w:val="single"/>
        </w:rPr>
        <w:t>piano di comunicazione unitario ed organico dell’intero “Sistema Paese”</w:t>
      </w:r>
      <w:r w:rsidRPr="009671A9">
        <w:rPr>
          <w:rFonts w:asciiTheme="majorHAnsi" w:hAnsiTheme="majorHAnsi"/>
          <w:sz w:val="24"/>
          <w:szCs w:val="24"/>
        </w:rPr>
        <w:t xml:space="preserve">. Concordiamo tutti, a diversi livelli locali e regionali, che </w:t>
      </w:r>
      <w:r w:rsidRPr="009671A9">
        <w:rPr>
          <w:rFonts w:asciiTheme="majorHAnsi" w:hAnsiTheme="majorHAnsi"/>
          <w:i/>
          <w:sz w:val="24"/>
          <w:szCs w:val="24"/>
        </w:rPr>
        <w:t>in primis</w:t>
      </w:r>
      <w:r w:rsidRPr="009671A9">
        <w:rPr>
          <w:rFonts w:asciiTheme="majorHAnsi" w:hAnsiTheme="majorHAnsi"/>
          <w:sz w:val="24"/>
          <w:szCs w:val="24"/>
        </w:rPr>
        <w:t xml:space="preserve"> si debba </w:t>
      </w:r>
      <w:r w:rsidRPr="009671A9">
        <w:rPr>
          <w:rFonts w:asciiTheme="majorHAnsi" w:hAnsiTheme="majorHAnsi"/>
          <w:sz w:val="24"/>
          <w:szCs w:val="24"/>
          <w:u w:val="single"/>
        </w:rPr>
        <w:t>puntare sul turismo di prossimità e nazionale</w:t>
      </w:r>
      <w:r w:rsidRPr="009671A9">
        <w:rPr>
          <w:rFonts w:asciiTheme="majorHAnsi" w:hAnsiTheme="majorHAnsi"/>
          <w:sz w:val="24"/>
          <w:szCs w:val="24"/>
        </w:rPr>
        <w:t xml:space="preserve">, che negli ultimi anni aveva registrato un trend di crescita, e che adesso sarà ancor più importante spingere anche solo come forma di sostegno solidaristica per il rilancio di un Paese che nel momento del bisogno dimostra di saper fare sistema. Potrebbe essere, inoltre, utile in prospettiva la </w:t>
      </w:r>
      <w:r w:rsidRPr="009671A9">
        <w:rPr>
          <w:rFonts w:asciiTheme="majorHAnsi" w:hAnsiTheme="majorHAnsi"/>
          <w:sz w:val="24"/>
          <w:szCs w:val="24"/>
          <w:u w:val="single"/>
        </w:rPr>
        <w:t xml:space="preserve">stipula di accordi internazionali </w:t>
      </w:r>
      <w:r w:rsidRPr="009671A9">
        <w:rPr>
          <w:rFonts w:asciiTheme="majorHAnsi" w:hAnsiTheme="majorHAnsi"/>
          <w:sz w:val="24"/>
          <w:szCs w:val="24"/>
        </w:rPr>
        <w:t xml:space="preserve">(in modo particolare con i paesi del nord Europa) </w:t>
      </w:r>
      <w:r w:rsidRPr="009671A9">
        <w:rPr>
          <w:rFonts w:asciiTheme="majorHAnsi" w:hAnsiTheme="majorHAnsi"/>
          <w:sz w:val="24"/>
          <w:szCs w:val="24"/>
          <w:u w:val="single"/>
        </w:rPr>
        <w:t xml:space="preserve">per promuovere corridoi turistici sicuri per turisti stranieri </w:t>
      </w:r>
      <w:r w:rsidRPr="009671A9">
        <w:rPr>
          <w:rFonts w:asciiTheme="majorHAnsi" w:hAnsiTheme="majorHAnsi"/>
          <w:sz w:val="24"/>
          <w:szCs w:val="24"/>
        </w:rPr>
        <w:t xml:space="preserve">sull’esempio degli accordi che la Croazia ha firmato con la Germania. </w:t>
      </w:r>
    </w:p>
    <w:p w14:paraId="4350A099" w14:textId="0D338BAD" w:rsidR="000825D7" w:rsidRPr="009671A9" w:rsidRDefault="000825D7" w:rsidP="00124509">
      <w:pPr>
        <w:jc w:val="both"/>
        <w:rPr>
          <w:rFonts w:asciiTheme="majorHAnsi" w:eastAsia="Bookman Old Style" w:hAnsiTheme="majorHAnsi" w:cs="Bookman Old Style"/>
          <w:sz w:val="24"/>
          <w:szCs w:val="24"/>
          <w:u w:val="single"/>
        </w:rPr>
      </w:pPr>
    </w:p>
    <w:sectPr w:rsidR="000825D7" w:rsidRPr="009671A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5EED8" w14:textId="77777777" w:rsidR="000352D9" w:rsidRDefault="000352D9" w:rsidP="00F87099">
      <w:pPr>
        <w:spacing w:after="0" w:line="240" w:lineRule="auto"/>
      </w:pPr>
      <w:r>
        <w:separator/>
      </w:r>
    </w:p>
  </w:endnote>
  <w:endnote w:type="continuationSeparator" w:id="0">
    <w:p w14:paraId="7FA61840" w14:textId="77777777" w:rsidR="000352D9" w:rsidRDefault="000352D9" w:rsidP="00F87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altName w:val="Cambria"/>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80E36" w14:textId="77777777" w:rsidR="000352D9" w:rsidRDefault="000352D9" w:rsidP="00F87099">
      <w:pPr>
        <w:spacing w:after="0" w:line="240" w:lineRule="auto"/>
      </w:pPr>
      <w:r>
        <w:separator/>
      </w:r>
    </w:p>
  </w:footnote>
  <w:footnote w:type="continuationSeparator" w:id="0">
    <w:p w14:paraId="3C1988D0" w14:textId="77777777" w:rsidR="000352D9" w:rsidRDefault="000352D9" w:rsidP="00F87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41E"/>
    <w:multiLevelType w:val="hybridMultilevel"/>
    <w:tmpl w:val="1CC4D4B8"/>
    <w:lvl w:ilvl="0" w:tplc="3984DEF0">
      <w:start w:val="1"/>
      <w:numFmt w:val="decimal"/>
      <w:lvlText w:val="%1."/>
      <w:lvlJc w:val="left"/>
      <w:pPr>
        <w:ind w:left="720" w:hanging="360"/>
      </w:pPr>
    </w:lvl>
    <w:lvl w:ilvl="1" w:tplc="4D8C85C6">
      <w:start w:val="1"/>
      <w:numFmt w:val="lowerLetter"/>
      <w:lvlText w:val="%2."/>
      <w:lvlJc w:val="left"/>
      <w:pPr>
        <w:ind w:left="1440" w:hanging="360"/>
      </w:pPr>
    </w:lvl>
    <w:lvl w:ilvl="2" w:tplc="986C0B6C">
      <w:start w:val="1"/>
      <w:numFmt w:val="lowerRoman"/>
      <w:lvlText w:val="%3."/>
      <w:lvlJc w:val="right"/>
      <w:pPr>
        <w:ind w:left="2160" w:hanging="180"/>
      </w:pPr>
    </w:lvl>
    <w:lvl w:ilvl="3" w:tplc="A142E334">
      <w:start w:val="1"/>
      <w:numFmt w:val="decimal"/>
      <w:lvlText w:val="%4."/>
      <w:lvlJc w:val="left"/>
      <w:pPr>
        <w:ind w:left="2880" w:hanging="360"/>
      </w:pPr>
    </w:lvl>
    <w:lvl w:ilvl="4" w:tplc="C1EE6538">
      <w:start w:val="1"/>
      <w:numFmt w:val="lowerLetter"/>
      <w:lvlText w:val="%5."/>
      <w:lvlJc w:val="left"/>
      <w:pPr>
        <w:ind w:left="3600" w:hanging="360"/>
      </w:pPr>
    </w:lvl>
    <w:lvl w:ilvl="5" w:tplc="78781DA2">
      <w:start w:val="1"/>
      <w:numFmt w:val="lowerRoman"/>
      <w:lvlText w:val="%6."/>
      <w:lvlJc w:val="right"/>
      <w:pPr>
        <w:ind w:left="4320" w:hanging="180"/>
      </w:pPr>
    </w:lvl>
    <w:lvl w:ilvl="6" w:tplc="279A9C56">
      <w:start w:val="1"/>
      <w:numFmt w:val="decimal"/>
      <w:lvlText w:val="%7."/>
      <w:lvlJc w:val="left"/>
      <w:pPr>
        <w:ind w:left="5040" w:hanging="360"/>
      </w:pPr>
    </w:lvl>
    <w:lvl w:ilvl="7" w:tplc="24A2D8F8">
      <w:start w:val="1"/>
      <w:numFmt w:val="lowerLetter"/>
      <w:lvlText w:val="%8."/>
      <w:lvlJc w:val="left"/>
      <w:pPr>
        <w:ind w:left="5760" w:hanging="360"/>
      </w:pPr>
    </w:lvl>
    <w:lvl w:ilvl="8" w:tplc="30A46B6A">
      <w:start w:val="1"/>
      <w:numFmt w:val="lowerRoman"/>
      <w:lvlText w:val="%9."/>
      <w:lvlJc w:val="right"/>
      <w:pPr>
        <w:ind w:left="6480" w:hanging="180"/>
      </w:pPr>
    </w:lvl>
  </w:abstractNum>
  <w:abstractNum w:abstractNumId="1" w15:restartNumberingAfterBreak="0">
    <w:nsid w:val="064658B9"/>
    <w:multiLevelType w:val="hybridMultilevel"/>
    <w:tmpl w:val="AAE24890"/>
    <w:lvl w:ilvl="0" w:tplc="C36EF814">
      <w:numFmt w:val="bullet"/>
      <w:lvlText w:val="-"/>
      <w:lvlJc w:val="left"/>
      <w:pPr>
        <w:ind w:left="720" w:hanging="360"/>
      </w:pPr>
      <w:rPr>
        <w:rFonts w:ascii="Bookman Old Style" w:eastAsiaTheme="minorHAnsi" w:hAnsi="Bookman Old Style"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15:restartNumberingAfterBreak="0">
    <w:nsid w:val="0FCF3818"/>
    <w:multiLevelType w:val="hybridMultilevel"/>
    <w:tmpl w:val="9C98FA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FE75AF1"/>
    <w:multiLevelType w:val="hybridMultilevel"/>
    <w:tmpl w:val="42B0C2A8"/>
    <w:lvl w:ilvl="0" w:tplc="3D16E324">
      <w:start w:val="1"/>
      <w:numFmt w:val="decimal"/>
      <w:lvlText w:val="%1."/>
      <w:lvlJc w:val="left"/>
      <w:pPr>
        <w:ind w:left="720" w:hanging="360"/>
      </w:pPr>
    </w:lvl>
    <w:lvl w:ilvl="1" w:tplc="761A38CE">
      <w:start w:val="1"/>
      <w:numFmt w:val="lowerLetter"/>
      <w:lvlText w:val="%2."/>
      <w:lvlJc w:val="left"/>
      <w:pPr>
        <w:ind w:left="1440" w:hanging="360"/>
      </w:pPr>
    </w:lvl>
    <w:lvl w:ilvl="2" w:tplc="C026E9A2">
      <w:start w:val="1"/>
      <w:numFmt w:val="lowerRoman"/>
      <w:lvlText w:val="%3."/>
      <w:lvlJc w:val="right"/>
      <w:pPr>
        <w:ind w:left="2160" w:hanging="180"/>
      </w:pPr>
    </w:lvl>
    <w:lvl w:ilvl="3" w:tplc="A312789A">
      <w:start w:val="1"/>
      <w:numFmt w:val="decimal"/>
      <w:lvlText w:val="%4."/>
      <w:lvlJc w:val="left"/>
      <w:pPr>
        <w:ind w:left="2880" w:hanging="360"/>
      </w:pPr>
    </w:lvl>
    <w:lvl w:ilvl="4" w:tplc="2BD883AA">
      <w:start w:val="1"/>
      <w:numFmt w:val="lowerLetter"/>
      <w:lvlText w:val="%5."/>
      <w:lvlJc w:val="left"/>
      <w:pPr>
        <w:ind w:left="3600" w:hanging="360"/>
      </w:pPr>
    </w:lvl>
    <w:lvl w:ilvl="5" w:tplc="7B5AC3D6">
      <w:start w:val="1"/>
      <w:numFmt w:val="lowerRoman"/>
      <w:lvlText w:val="%6."/>
      <w:lvlJc w:val="right"/>
      <w:pPr>
        <w:ind w:left="4320" w:hanging="180"/>
      </w:pPr>
    </w:lvl>
    <w:lvl w:ilvl="6" w:tplc="5DBC8622">
      <w:start w:val="1"/>
      <w:numFmt w:val="decimal"/>
      <w:lvlText w:val="%7."/>
      <w:lvlJc w:val="left"/>
      <w:pPr>
        <w:ind w:left="5040" w:hanging="360"/>
      </w:pPr>
    </w:lvl>
    <w:lvl w:ilvl="7" w:tplc="6A7ECDDE">
      <w:start w:val="1"/>
      <w:numFmt w:val="lowerLetter"/>
      <w:lvlText w:val="%8."/>
      <w:lvlJc w:val="left"/>
      <w:pPr>
        <w:ind w:left="5760" w:hanging="360"/>
      </w:pPr>
    </w:lvl>
    <w:lvl w:ilvl="8" w:tplc="742E9CC6">
      <w:start w:val="1"/>
      <w:numFmt w:val="lowerRoman"/>
      <w:lvlText w:val="%9."/>
      <w:lvlJc w:val="right"/>
      <w:pPr>
        <w:ind w:left="6480" w:hanging="180"/>
      </w:pPr>
    </w:lvl>
  </w:abstractNum>
  <w:abstractNum w:abstractNumId="4" w15:restartNumberingAfterBreak="0">
    <w:nsid w:val="30961AB7"/>
    <w:multiLevelType w:val="hybridMultilevel"/>
    <w:tmpl w:val="23E68102"/>
    <w:lvl w:ilvl="0" w:tplc="B84CE3AE">
      <w:start w:val="1"/>
      <w:numFmt w:val="bullet"/>
      <w:lvlText w:val=""/>
      <w:lvlJc w:val="left"/>
      <w:pPr>
        <w:ind w:left="720" w:hanging="360"/>
      </w:pPr>
      <w:rPr>
        <w:rFonts w:ascii="Symbol" w:hAnsi="Symbol" w:hint="default"/>
      </w:rPr>
    </w:lvl>
    <w:lvl w:ilvl="1" w:tplc="0D4437BE">
      <w:start w:val="1"/>
      <w:numFmt w:val="bullet"/>
      <w:lvlText w:val="o"/>
      <w:lvlJc w:val="left"/>
      <w:pPr>
        <w:ind w:left="1440" w:hanging="360"/>
      </w:pPr>
      <w:rPr>
        <w:rFonts w:ascii="Courier New" w:hAnsi="Courier New" w:cs="Times New Roman" w:hint="default"/>
      </w:rPr>
    </w:lvl>
    <w:lvl w:ilvl="2" w:tplc="EED053CA">
      <w:start w:val="1"/>
      <w:numFmt w:val="bullet"/>
      <w:lvlText w:val=""/>
      <w:lvlJc w:val="left"/>
      <w:pPr>
        <w:ind w:left="2160" w:hanging="360"/>
      </w:pPr>
      <w:rPr>
        <w:rFonts w:ascii="Wingdings" w:hAnsi="Wingdings" w:hint="default"/>
      </w:rPr>
    </w:lvl>
    <w:lvl w:ilvl="3" w:tplc="C870EB80">
      <w:start w:val="1"/>
      <w:numFmt w:val="bullet"/>
      <w:lvlText w:val=""/>
      <w:lvlJc w:val="left"/>
      <w:pPr>
        <w:ind w:left="2880" w:hanging="360"/>
      </w:pPr>
      <w:rPr>
        <w:rFonts w:ascii="Symbol" w:hAnsi="Symbol" w:hint="default"/>
      </w:rPr>
    </w:lvl>
    <w:lvl w:ilvl="4" w:tplc="31725CA4">
      <w:start w:val="1"/>
      <w:numFmt w:val="bullet"/>
      <w:lvlText w:val="o"/>
      <w:lvlJc w:val="left"/>
      <w:pPr>
        <w:ind w:left="3600" w:hanging="360"/>
      </w:pPr>
      <w:rPr>
        <w:rFonts w:ascii="Courier New" w:hAnsi="Courier New" w:cs="Times New Roman" w:hint="default"/>
      </w:rPr>
    </w:lvl>
    <w:lvl w:ilvl="5" w:tplc="62ACB6EC">
      <w:start w:val="1"/>
      <w:numFmt w:val="bullet"/>
      <w:lvlText w:val=""/>
      <w:lvlJc w:val="left"/>
      <w:pPr>
        <w:ind w:left="4320" w:hanging="360"/>
      </w:pPr>
      <w:rPr>
        <w:rFonts w:ascii="Wingdings" w:hAnsi="Wingdings" w:hint="default"/>
      </w:rPr>
    </w:lvl>
    <w:lvl w:ilvl="6" w:tplc="FECEB9D0">
      <w:start w:val="1"/>
      <w:numFmt w:val="bullet"/>
      <w:lvlText w:val=""/>
      <w:lvlJc w:val="left"/>
      <w:pPr>
        <w:ind w:left="5040" w:hanging="360"/>
      </w:pPr>
      <w:rPr>
        <w:rFonts w:ascii="Symbol" w:hAnsi="Symbol" w:hint="default"/>
      </w:rPr>
    </w:lvl>
    <w:lvl w:ilvl="7" w:tplc="D7B030A2">
      <w:start w:val="1"/>
      <w:numFmt w:val="bullet"/>
      <w:lvlText w:val="o"/>
      <w:lvlJc w:val="left"/>
      <w:pPr>
        <w:ind w:left="5760" w:hanging="360"/>
      </w:pPr>
      <w:rPr>
        <w:rFonts w:ascii="Courier New" w:hAnsi="Courier New" w:cs="Times New Roman" w:hint="default"/>
      </w:rPr>
    </w:lvl>
    <w:lvl w:ilvl="8" w:tplc="2910A1F4">
      <w:start w:val="1"/>
      <w:numFmt w:val="bullet"/>
      <w:lvlText w:val=""/>
      <w:lvlJc w:val="left"/>
      <w:pPr>
        <w:ind w:left="6480" w:hanging="360"/>
      </w:pPr>
      <w:rPr>
        <w:rFonts w:ascii="Wingdings" w:hAnsi="Wingdings" w:hint="default"/>
      </w:rPr>
    </w:lvl>
  </w:abstractNum>
  <w:abstractNum w:abstractNumId="5" w15:restartNumberingAfterBreak="0">
    <w:nsid w:val="445A60C2"/>
    <w:multiLevelType w:val="hybridMultilevel"/>
    <w:tmpl w:val="CC2658E0"/>
    <w:lvl w:ilvl="0" w:tplc="1DD27F94">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50C020B8"/>
    <w:multiLevelType w:val="hybridMultilevel"/>
    <w:tmpl w:val="61F0A4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98B59ED"/>
    <w:multiLevelType w:val="hybridMultilevel"/>
    <w:tmpl w:val="E35019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5E805EB"/>
    <w:multiLevelType w:val="hybridMultilevel"/>
    <w:tmpl w:val="5EC2A23E"/>
    <w:lvl w:ilvl="0" w:tplc="B510B8B0">
      <w:start w:val="1"/>
      <w:numFmt w:val="bullet"/>
      <w:lvlText w:val=""/>
      <w:lvlJc w:val="left"/>
      <w:pPr>
        <w:ind w:left="720" w:hanging="360"/>
      </w:pPr>
      <w:rPr>
        <w:rFonts w:ascii="Symbol" w:hAnsi="Symbol" w:hint="default"/>
      </w:rPr>
    </w:lvl>
    <w:lvl w:ilvl="1" w:tplc="C84A76AE">
      <w:start w:val="1"/>
      <w:numFmt w:val="bullet"/>
      <w:lvlText w:val="o"/>
      <w:lvlJc w:val="left"/>
      <w:pPr>
        <w:ind w:left="1440" w:hanging="360"/>
      </w:pPr>
      <w:rPr>
        <w:rFonts w:ascii="Courier New" w:hAnsi="Courier New" w:cs="Times New Roman" w:hint="default"/>
      </w:rPr>
    </w:lvl>
    <w:lvl w:ilvl="2" w:tplc="4D785B1E">
      <w:start w:val="1"/>
      <w:numFmt w:val="bullet"/>
      <w:lvlText w:val=""/>
      <w:lvlJc w:val="left"/>
      <w:pPr>
        <w:ind w:left="2160" w:hanging="360"/>
      </w:pPr>
      <w:rPr>
        <w:rFonts w:ascii="Wingdings" w:hAnsi="Wingdings" w:hint="default"/>
      </w:rPr>
    </w:lvl>
    <w:lvl w:ilvl="3" w:tplc="11AA2B3E">
      <w:start w:val="1"/>
      <w:numFmt w:val="bullet"/>
      <w:lvlText w:val=""/>
      <w:lvlJc w:val="left"/>
      <w:pPr>
        <w:ind w:left="2880" w:hanging="360"/>
      </w:pPr>
      <w:rPr>
        <w:rFonts w:ascii="Symbol" w:hAnsi="Symbol" w:hint="default"/>
      </w:rPr>
    </w:lvl>
    <w:lvl w:ilvl="4" w:tplc="57A269CC">
      <w:start w:val="1"/>
      <w:numFmt w:val="bullet"/>
      <w:lvlText w:val="o"/>
      <w:lvlJc w:val="left"/>
      <w:pPr>
        <w:ind w:left="3600" w:hanging="360"/>
      </w:pPr>
      <w:rPr>
        <w:rFonts w:ascii="Courier New" w:hAnsi="Courier New" w:cs="Times New Roman" w:hint="default"/>
      </w:rPr>
    </w:lvl>
    <w:lvl w:ilvl="5" w:tplc="2F485E06">
      <w:start w:val="1"/>
      <w:numFmt w:val="bullet"/>
      <w:lvlText w:val=""/>
      <w:lvlJc w:val="left"/>
      <w:pPr>
        <w:ind w:left="4320" w:hanging="360"/>
      </w:pPr>
      <w:rPr>
        <w:rFonts w:ascii="Wingdings" w:hAnsi="Wingdings" w:hint="default"/>
      </w:rPr>
    </w:lvl>
    <w:lvl w:ilvl="6" w:tplc="771A91F4">
      <w:start w:val="1"/>
      <w:numFmt w:val="bullet"/>
      <w:lvlText w:val=""/>
      <w:lvlJc w:val="left"/>
      <w:pPr>
        <w:ind w:left="5040" w:hanging="360"/>
      </w:pPr>
      <w:rPr>
        <w:rFonts w:ascii="Symbol" w:hAnsi="Symbol" w:hint="default"/>
      </w:rPr>
    </w:lvl>
    <w:lvl w:ilvl="7" w:tplc="C5FCE45A">
      <w:start w:val="1"/>
      <w:numFmt w:val="bullet"/>
      <w:lvlText w:val="o"/>
      <w:lvlJc w:val="left"/>
      <w:pPr>
        <w:ind w:left="5760" w:hanging="360"/>
      </w:pPr>
      <w:rPr>
        <w:rFonts w:ascii="Courier New" w:hAnsi="Courier New" w:cs="Times New Roman" w:hint="default"/>
      </w:rPr>
    </w:lvl>
    <w:lvl w:ilvl="8" w:tplc="D6BEE4E2">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1Nja3NDS2tDAxNjZW0lEKTi0uzszPAykwrAUACV+3rSwAAAA="/>
  </w:docVars>
  <w:rsids>
    <w:rsidRoot w:val="000F5776"/>
    <w:rsid w:val="0000607C"/>
    <w:rsid w:val="000352D9"/>
    <w:rsid w:val="0004298A"/>
    <w:rsid w:val="0006507C"/>
    <w:rsid w:val="000825D7"/>
    <w:rsid w:val="00085DC3"/>
    <w:rsid w:val="000A56FC"/>
    <w:rsid w:val="000B0220"/>
    <w:rsid w:val="000F5776"/>
    <w:rsid w:val="00124509"/>
    <w:rsid w:val="001645E4"/>
    <w:rsid w:val="001767B1"/>
    <w:rsid w:val="002C47F7"/>
    <w:rsid w:val="002F16C6"/>
    <w:rsid w:val="003A6C4F"/>
    <w:rsid w:val="003B105F"/>
    <w:rsid w:val="00471CA0"/>
    <w:rsid w:val="004B3D55"/>
    <w:rsid w:val="004B593F"/>
    <w:rsid w:val="004C0AF6"/>
    <w:rsid w:val="0050068A"/>
    <w:rsid w:val="005A26A4"/>
    <w:rsid w:val="006C51BA"/>
    <w:rsid w:val="00704BED"/>
    <w:rsid w:val="00731F29"/>
    <w:rsid w:val="00763E4F"/>
    <w:rsid w:val="0082758F"/>
    <w:rsid w:val="00880BB3"/>
    <w:rsid w:val="00922AC9"/>
    <w:rsid w:val="00957F5D"/>
    <w:rsid w:val="009671A9"/>
    <w:rsid w:val="00A96674"/>
    <w:rsid w:val="00AB3FD8"/>
    <w:rsid w:val="00AC02B1"/>
    <w:rsid w:val="00B679E6"/>
    <w:rsid w:val="00C766E9"/>
    <w:rsid w:val="00CC5E49"/>
    <w:rsid w:val="00CE24BD"/>
    <w:rsid w:val="00D00413"/>
    <w:rsid w:val="00DB7E56"/>
    <w:rsid w:val="00E217C3"/>
    <w:rsid w:val="00E3040C"/>
    <w:rsid w:val="00E36AF0"/>
    <w:rsid w:val="00E86D88"/>
    <w:rsid w:val="00ED34D4"/>
    <w:rsid w:val="00EE4148"/>
    <w:rsid w:val="00F43AA6"/>
    <w:rsid w:val="00F87099"/>
    <w:rsid w:val="00FC5B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9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36AF0"/>
  </w:style>
  <w:style w:type="paragraph" w:styleId="Titolo2">
    <w:name w:val="heading 2"/>
    <w:basedOn w:val="Normale"/>
    <w:next w:val="Normale"/>
    <w:link w:val="Titolo2Carattere"/>
    <w:uiPriority w:val="9"/>
    <w:semiHidden/>
    <w:unhideWhenUsed/>
    <w:qFormat/>
    <w:rsid w:val="00471C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471CA0"/>
    <w:rPr>
      <w:rFonts w:asciiTheme="majorHAnsi" w:eastAsiaTheme="majorEastAsia" w:hAnsiTheme="majorHAnsi" w:cstheme="majorBidi"/>
      <w:b/>
      <w:bCs/>
      <w:color w:val="4F81BD" w:themeColor="accent1"/>
      <w:sz w:val="26"/>
      <w:szCs w:val="26"/>
    </w:rPr>
  </w:style>
  <w:style w:type="paragraph" w:styleId="NormaleWeb">
    <w:name w:val="Normal (Web)"/>
    <w:basedOn w:val="Normale"/>
    <w:uiPriority w:val="99"/>
    <w:semiHidden/>
    <w:unhideWhenUsed/>
    <w:rsid w:val="00471CA0"/>
    <w:pPr>
      <w:spacing w:before="100" w:beforeAutospacing="1" w:after="100" w:afterAutospacing="1" w:line="240" w:lineRule="auto"/>
    </w:pPr>
    <w:rPr>
      <w:rFonts w:ascii="Times New Roman" w:eastAsiaTheme="minorEastAsia" w:hAnsi="Times New Roman" w:cs="Times New Roman"/>
      <w:sz w:val="24"/>
      <w:szCs w:val="24"/>
      <w:lang w:val="fr-FR" w:eastAsia="fr-FR"/>
    </w:rPr>
  </w:style>
  <w:style w:type="paragraph" w:styleId="Didascalia">
    <w:name w:val="caption"/>
    <w:basedOn w:val="Normale"/>
    <w:next w:val="Normale"/>
    <w:uiPriority w:val="35"/>
    <w:semiHidden/>
    <w:unhideWhenUsed/>
    <w:qFormat/>
    <w:rsid w:val="00FC5B40"/>
    <w:pPr>
      <w:spacing w:line="240" w:lineRule="auto"/>
    </w:pPr>
    <w:rPr>
      <w:i/>
      <w:iCs/>
      <w:color w:val="1F497D" w:themeColor="text2"/>
      <w:sz w:val="18"/>
      <w:szCs w:val="18"/>
    </w:rPr>
  </w:style>
  <w:style w:type="paragraph" w:styleId="Paragrafoelenco">
    <w:name w:val="List Paragraph"/>
    <w:basedOn w:val="Normale"/>
    <w:link w:val="ParagrafoelencoCarattere"/>
    <w:uiPriority w:val="34"/>
    <w:qFormat/>
    <w:rsid w:val="00FC5B40"/>
    <w:pPr>
      <w:spacing w:after="160" w:line="254" w:lineRule="auto"/>
      <w:ind w:left="720"/>
      <w:contextualSpacing/>
    </w:pPr>
  </w:style>
  <w:style w:type="paragraph" w:styleId="Testofumetto">
    <w:name w:val="Balloon Text"/>
    <w:basedOn w:val="Normale"/>
    <w:link w:val="TestofumettoCarattere"/>
    <w:uiPriority w:val="99"/>
    <w:semiHidden/>
    <w:unhideWhenUsed/>
    <w:rsid w:val="00A9667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96674"/>
    <w:rPr>
      <w:rFonts w:ascii="Segoe UI" w:hAnsi="Segoe UI" w:cs="Segoe UI"/>
      <w:sz w:val="18"/>
      <w:szCs w:val="18"/>
    </w:rPr>
  </w:style>
  <w:style w:type="paragraph" w:styleId="Intestazione">
    <w:name w:val="header"/>
    <w:basedOn w:val="Normale"/>
    <w:link w:val="IntestazioneCarattere"/>
    <w:uiPriority w:val="99"/>
    <w:unhideWhenUsed/>
    <w:rsid w:val="00F870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7099"/>
  </w:style>
  <w:style w:type="paragraph" w:styleId="Pidipagina">
    <w:name w:val="footer"/>
    <w:basedOn w:val="Normale"/>
    <w:link w:val="PidipaginaCarattere"/>
    <w:uiPriority w:val="99"/>
    <w:unhideWhenUsed/>
    <w:rsid w:val="00F870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7099"/>
  </w:style>
  <w:style w:type="character" w:customStyle="1" w:styleId="ParagrafoelencoCarattere">
    <w:name w:val="Paragrafo elenco Carattere"/>
    <w:link w:val="Paragrafoelenco"/>
    <w:uiPriority w:val="34"/>
    <w:locked/>
    <w:rsid w:val="00AC02B1"/>
  </w:style>
  <w:style w:type="paragraph" w:customStyle="1" w:styleId="xxmsonormal">
    <w:name w:val="x_x_msonormal"/>
    <w:basedOn w:val="Normale"/>
    <w:rsid w:val="00AC02B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1388">
      <w:bodyDiv w:val="1"/>
      <w:marLeft w:val="0"/>
      <w:marRight w:val="0"/>
      <w:marTop w:val="0"/>
      <w:marBottom w:val="0"/>
      <w:divBdr>
        <w:top w:val="none" w:sz="0" w:space="0" w:color="auto"/>
        <w:left w:val="none" w:sz="0" w:space="0" w:color="auto"/>
        <w:bottom w:val="none" w:sz="0" w:space="0" w:color="auto"/>
        <w:right w:val="none" w:sz="0" w:space="0" w:color="auto"/>
      </w:divBdr>
    </w:div>
    <w:div w:id="211815620">
      <w:bodyDiv w:val="1"/>
      <w:marLeft w:val="0"/>
      <w:marRight w:val="0"/>
      <w:marTop w:val="0"/>
      <w:marBottom w:val="0"/>
      <w:divBdr>
        <w:top w:val="none" w:sz="0" w:space="0" w:color="auto"/>
        <w:left w:val="none" w:sz="0" w:space="0" w:color="auto"/>
        <w:bottom w:val="none" w:sz="0" w:space="0" w:color="auto"/>
        <w:right w:val="none" w:sz="0" w:space="0" w:color="auto"/>
      </w:divBdr>
    </w:div>
    <w:div w:id="567419954">
      <w:bodyDiv w:val="1"/>
      <w:marLeft w:val="0"/>
      <w:marRight w:val="0"/>
      <w:marTop w:val="0"/>
      <w:marBottom w:val="0"/>
      <w:divBdr>
        <w:top w:val="none" w:sz="0" w:space="0" w:color="auto"/>
        <w:left w:val="none" w:sz="0" w:space="0" w:color="auto"/>
        <w:bottom w:val="none" w:sz="0" w:space="0" w:color="auto"/>
        <w:right w:val="none" w:sz="0" w:space="0" w:color="auto"/>
      </w:divBdr>
    </w:div>
    <w:div w:id="1499732012">
      <w:bodyDiv w:val="1"/>
      <w:marLeft w:val="0"/>
      <w:marRight w:val="0"/>
      <w:marTop w:val="0"/>
      <w:marBottom w:val="0"/>
      <w:divBdr>
        <w:top w:val="none" w:sz="0" w:space="0" w:color="auto"/>
        <w:left w:val="none" w:sz="0" w:space="0" w:color="auto"/>
        <w:bottom w:val="none" w:sz="0" w:space="0" w:color="auto"/>
        <w:right w:val="none" w:sz="0" w:space="0" w:color="auto"/>
      </w:divBdr>
    </w:div>
    <w:div w:id="1586570042">
      <w:bodyDiv w:val="1"/>
      <w:marLeft w:val="0"/>
      <w:marRight w:val="0"/>
      <w:marTop w:val="0"/>
      <w:marBottom w:val="0"/>
      <w:divBdr>
        <w:top w:val="none" w:sz="0" w:space="0" w:color="auto"/>
        <w:left w:val="none" w:sz="0" w:space="0" w:color="auto"/>
        <w:bottom w:val="none" w:sz="0" w:space="0" w:color="auto"/>
        <w:right w:val="none" w:sz="0" w:space="0" w:color="auto"/>
      </w:divBdr>
    </w:div>
    <w:div w:id="1611358982">
      <w:bodyDiv w:val="1"/>
      <w:marLeft w:val="0"/>
      <w:marRight w:val="0"/>
      <w:marTop w:val="0"/>
      <w:marBottom w:val="0"/>
      <w:divBdr>
        <w:top w:val="none" w:sz="0" w:space="0" w:color="auto"/>
        <w:left w:val="none" w:sz="0" w:space="0" w:color="auto"/>
        <w:bottom w:val="none" w:sz="0" w:space="0" w:color="auto"/>
        <w:right w:val="none" w:sz="0" w:space="0" w:color="auto"/>
      </w:divBdr>
    </w:div>
    <w:div w:id="169688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63B625B7-55BF-4A87-9DF4-A1BBDD76083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2931</Words>
  <Characters>16712</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2020-06-16T06:15:00Z</dcterms:created>
  <dcterms:modified xsi:type="dcterms:W3CDTF">2020-06-16T06:15:00Z</dcterms:modified>
</cp:coreProperties>
</file>