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F642" w14:textId="77777777" w:rsidR="0028615B" w:rsidRDefault="0028615B" w:rsidP="00286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7683">
        <w:rPr>
          <w:rFonts w:ascii="Times New Roman" w:hAnsi="Times New Roman" w:cs="Times New Roman"/>
          <w:b/>
          <w:bCs/>
          <w:i/>
          <w:iCs/>
        </w:rPr>
        <w:t xml:space="preserve">I DATI </w:t>
      </w:r>
      <w:r>
        <w:rPr>
          <w:rFonts w:ascii="Times New Roman" w:hAnsi="Times New Roman" w:cs="Times New Roman"/>
          <w:b/>
          <w:bCs/>
          <w:i/>
          <w:iCs/>
        </w:rPr>
        <w:t xml:space="preserve">MESSI IN LUCE </w:t>
      </w:r>
      <w:r w:rsidRPr="00587683">
        <w:rPr>
          <w:rFonts w:ascii="Times New Roman" w:hAnsi="Times New Roman" w:cs="Times New Roman"/>
          <w:b/>
          <w:bCs/>
          <w:i/>
          <w:iCs/>
        </w:rPr>
        <w:t>DALL’ATLANTE</w:t>
      </w:r>
    </w:p>
    <w:p w14:paraId="26D1FC59" w14:textId="77777777" w:rsidR="0028615B" w:rsidRPr="00587683" w:rsidRDefault="0028615B" w:rsidP="00286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CAA8EA" w14:textId="77777777" w:rsidR="0028615B" w:rsidRPr="00587683" w:rsidRDefault="0028615B" w:rsidP="0028615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L’Atlante indica come anche in un periodo reso particolarmente complicato a causa della pandemia, in cui è stato necessario ripensare e adattare alla nuova contingenza le modalità organizzative e operative di gestione dei servizi nei singoli progetti di accoglienza, il Sistema SAI ha saputo ripensare gli strumenti da tempo consolidati e prevederne di nuovi per intercettare tempestivamente l’emersione di nuovi bisogni cui rispondere. A livello centrale, è stato attivato un </w:t>
      </w:r>
      <w:r w:rsidRPr="00587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Osservatorio sull’impatto del Covid-19 sulla rete di accoglienza</w:t>
      </w:r>
      <w:r w:rsidRPr="00587683">
        <w:rPr>
          <w:rFonts w:ascii="Times New Roman" w:hAnsi="Times New Roman" w:cs="Times New Roman"/>
          <w:color w:val="000000" w:themeColor="text1"/>
          <w:sz w:val="24"/>
          <w:szCs w:val="24"/>
        </w:rPr>
        <w:t>, che ha consentito al Servizio Centrale di presidiare l’evolvere della situazione nei diversi contesti territoriali, rilevare i bisogni e le misure messe in atto dai Comuni per la salvaguardia dei servizi di accoglienza integrata e cogliere le nuove esigenze di assistenza specifica degli stessi enti locali.</w:t>
      </w:r>
    </w:p>
    <w:p w14:paraId="59BEF6E4" w14:textId="77777777" w:rsidR="0028615B" w:rsidRPr="00587683" w:rsidRDefault="0028615B" w:rsidP="0028615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2020 i progetti della rete hanno interessato </w:t>
      </w:r>
      <w:r w:rsidRPr="0058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 vario titolo (in quanto titolari di progetto, sede di struttura o perché facenti parte di un’aggregazione – Unione/Comunità montana, Distretto o Ambito, Consorzio o Società della salute) </w:t>
      </w:r>
      <w:r w:rsidRPr="00587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oltre 1.600 Comuni, il 54% dei quali piccoli comuni (sotto i 5.000 abitanti) spesso afferenti ad aree interne o situati in aree rurali.</w:t>
      </w:r>
    </w:p>
    <w:p w14:paraId="0E127986" w14:textId="77777777" w:rsidR="0028615B" w:rsidRPr="00587683" w:rsidRDefault="0028615B" w:rsidP="0028615B">
      <w:pPr>
        <w:pStyle w:val="Testonormale"/>
        <w:jc w:val="both"/>
        <w:rPr>
          <w:color w:val="000000" w:themeColor="text1"/>
        </w:rPr>
      </w:pPr>
      <w:r w:rsidRPr="00587683">
        <w:rPr>
          <w:color w:val="000000" w:themeColor="text1"/>
        </w:rPr>
        <w:t xml:space="preserve">I </w:t>
      </w:r>
      <w:r w:rsidRPr="00587683">
        <w:rPr>
          <w:b/>
          <w:bCs/>
          <w:color w:val="000000" w:themeColor="text1"/>
        </w:rPr>
        <w:t xml:space="preserve">posti </w:t>
      </w:r>
      <w:r w:rsidRPr="00587683">
        <w:rPr>
          <w:color w:val="000000" w:themeColor="text1"/>
        </w:rPr>
        <w:t xml:space="preserve">disponibili sono stati </w:t>
      </w:r>
      <w:r w:rsidRPr="00587683">
        <w:rPr>
          <w:b/>
          <w:bCs/>
          <w:color w:val="000000" w:themeColor="text1"/>
        </w:rPr>
        <w:t>31.324</w:t>
      </w:r>
      <w:r w:rsidRPr="00587683">
        <w:rPr>
          <w:color w:val="000000" w:themeColor="text1"/>
        </w:rPr>
        <w:t>(653 posti per persone con disagio mentale e/o disabilità fisica, 4.437 per minori stranieri non accompagnati, 26.234per richiedenti e titolari di protezione internazionale delle categorie ordinarie) distribuiti in 794 progetti territoriali.</w:t>
      </w:r>
    </w:p>
    <w:p w14:paraId="75CCC458" w14:textId="77777777" w:rsidR="0028615B" w:rsidRPr="00587683" w:rsidRDefault="0028615B" w:rsidP="0028615B">
      <w:pPr>
        <w:pStyle w:val="Testonormale"/>
        <w:jc w:val="both"/>
        <w:rPr>
          <w:color w:val="000000" w:themeColor="text1"/>
        </w:rPr>
      </w:pPr>
      <w:r w:rsidRPr="00587683">
        <w:rPr>
          <w:color w:val="000000" w:themeColor="text1"/>
        </w:rPr>
        <w:t xml:space="preserve">Delle </w:t>
      </w:r>
      <w:r w:rsidRPr="00587683">
        <w:rPr>
          <w:b/>
          <w:bCs/>
          <w:color w:val="000000" w:themeColor="text1"/>
        </w:rPr>
        <w:t>oltre37mila persone accolte</w:t>
      </w:r>
      <w:r w:rsidRPr="00587683">
        <w:rPr>
          <w:color w:val="000000" w:themeColor="text1"/>
        </w:rPr>
        <w:t xml:space="preserve"> nel SIPROIMI/SAI nel corso del 2020 provenienti principalmente da </w:t>
      </w:r>
      <w:r w:rsidRPr="00587683">
        <w:rPr>
          <w:b/>
          <w:bCs/>
          <w:color w:val="000000" w:themeColor="text1"/>
        </w:rPr>
        <w:t>Nigeria, Pakistan</w:t>
      </w:r>
      <w:r w:rsidRPr="00587683">
        <w:rPr>
          <w:color w:val="000000" w:themeColor="text1"/>
        </w:rPr>
        <w:t xml:space="preserve">, </w:t>
      </w:r>
      <w:r w:rsidRPr="00587683">
        <w:rPr>
          <w:b/>
          <w:bCs/>
          <w:color w:val="000000" w:themeColor="text1"/>
        </w:rPr>
        <w:t>Mali, Bangladesh, Gambia</w:t>
      </w:r>
      <w:r w:rsidRPr="00587683">
        <w:rPr>
          <w:color w:val="000000" w:themeColor="text1"/>
        </w:rPr>
        <w:t xml:space="preserve">, oltre </w:t>
      </w:r>
      <w:r w:rsidRPr="00587683">
        <w:rPr>
          <w:b/>
          <w:bCs/>
          <w:color w:val="000000" w:themeColor="text1"/>
        </w:rPr>
        <w:t>7.000</w:t>
      </w:r>
      <w:r w:rsidRPr="00587683">
        <w:rPr>
          <w:color w:val="000000" w:themeColor="text1"/>
        </w:rPr>
        <w:t xml:space="preserve">erano </w:t>
      </w:r>
      <w:r w:rsidRPr="00587683">
        <w:rPr>
          <w:iCs/>
          <w:color w:val="000000" w:themeColor="text1"/>
        </w:rPr>
        <w:t>minori</w:t>
      </w:r>
      <w:r w:rsidRPr="00587683">
        <w:rPr>
          <w:rFonts w:eastAsia="Arial Unicode MS"/>
          <w:color w:val="000000" w:themeColor="text1"/>
          <w:kern w:val="1"/>
          <w:lang w:eastAsia="hi-IN" w:bidi="hi-IN"/>
        </w:rPr>
        <w:t xml:space="preserve">, </w:t>
      </w:r>
      <w:r w:rsidRPr="00587683">
        <w:rPr>
          <w:rFonts w:eastAsia="Arial Unicode MS"/>
          <w:b/>
          <w:color w:val="000000" w:themeColor="text1"/>
          <w:kern w:val="1"/>
          <w:lang w:eastAsia="hi-IN" w:bidi="hi-IN"/>
        </w:rPr>
        <w:t xml:space="preserve">ovvero </w:t>
      </w:r>
      <w:r w:rsidRPr="00587683">
        <w:rPr>
          <w:b/>
          <w:color w:val="000000" w:themeColor="text1"/>
        </w:rPr>
        <w:t>il 19% sul totale complessivo</w:t>
      </w:r>
      <w:r w:rsidRPr="00587683">
        <w:rPr>
          <w:color w:val="000000" w:themeColor="text1"/>
        </w:rPr>
        <w:t>.</w:t>
      </w:r>
    </w:p>
    <w:p w14:paraId="4B956CCA" w14:textId="77777777" w:rsidR="0028615B" w:rsidRPr="00587683" w:rsidRDefault="0028615B" w:rsidP="0028615B">
      <w:pPr>
        <w:pStyle w:val="Testonormale"/>
        <w:jc w:val="both"/>
        <w:rPr>
          <w:color w:val="000000" w:themeColor="text1"/>
        </w:rPr>
      </w:pPr>
      <w:r w:rsidRPr="00587683">
        <w:rPr>
          <w:color w:val="000000" w:themeColor="text1"/>
        </w:rPr>
        <w:t xml:space="preserve">Seppur </w:t>
      </w:r>
      <w:r w:rsidRPr="00587683">
        <w:rPr>
          <w:rFonts w:eastAsia="Arial Unicode MS"/>
          <w:color w:val="000000" w:themeColor="text1"/>
          <w:kern w:val="1"/>
          <w:lang w:eastAsia="hi-IN" w:bidi="hi-IN"/>
        </w:rPr>
        <w:t xml:space="preserve">gli uomini singoli e in giovane età siano ancora i più rappresentati tra i beneficiari della rete, la percentuale di </w:t>
      </w:r>
      <w:r w:rsidRPr="00587683">
        <w:rPr>
          <w:rFonts w:eastAsia="Arial Unicode MS"/>
          <w:b/>
          <w:color w:val="000000" w:themeColor="text1"/>
          <w:kern w:val="1"/>
          <w:lang w:eastAsia="hi-IN" w:bidi="hi-IN"/>
        </w:rPr>
        <w:t>donne</w:t>
      </w:r>
      <w:r w:rsidRPr="00587683">
        <w:rPr>
          <w:rFonts w:eastAsia="Arial Unicode MS"/>
          <w:color w:val="000000" w:themeColor="text1"/>
          <w:kern w:val="1"/>
          <w:lang w:eastAsia="hi-IN" w:bidi="hi-IN"/>
        </w:rPr>
        <w:t xml:space="preserve"> che giungono in Italia in cerca di protezione, spesso da sole, è </w:t>
      </w:r>
      <w:r w:rsidRPr="00587683">
        <w:rPr>
          <w:rFonts w:eastAsia="Arial Unicode MS"/>
          <w:b/>
          <w:color w:val="000000" w:themeColor="text1"/>
          <w:kern w:val="1"/>
          <w:lang w:eastAsia="hi-IN" w:bidi="hi-IN"/>
        </w:rPr>
        <w:t>in progressiva crescita</w:t>
      </w:r>
      <w:r w:rsidRPr="00587683">
        <w:rPr>
          <w:rFonts w:eastAsia="Arial Unicode MS"/>
          <w:color w:val="000000" w:themeColor="text1"/>
          <w:kern w:val="1"/>
          <w:lang w:eastAsia="hi-IN" w:bidi="hi-IN"/>
        </w:rPr>
        <w:t xml:space="preserve"> e l'incidenza sul totale degli accolti nell’ultimo anno è giunta al</w:t>
      </w:r>
      <w:r>
        <w:rPr>
          <w:rFonts w:eastAsia="Arial Unicode MS"/>
          <w:color w:val="000000" w:themeColor="text1"/>
          <w:kern w:val="1"/>
          <w:lang w:eastAsia="hi-IN" w:bidi="hi-IN"/>
        </w:rPr>
        <w:t xml:space="preserve"> </w:t>
      </w:r>
      <w:r w:rsidRPr="00587683">
        <w:rPr>
          <w:rFonts w:eastAsia="Arial Unicode MS"/>
          <w:b/>
          <w:color w:val="000000" w:themeColor="text1"/>
          <w:kern w:val="1"/>
          <w:lang w:eastAsia="hi-IN" w:bidi="hi-IN"/>
        </w:rPr>
        <w:t>20,8</w:t>
      </w:r>
      <w:r w:rsidRPr="00587683">
        <w:rPr>
          <w:rFonts w:eastAsia="Arial Unicode MS"/>
          <w:color w:val="000000" w:themeColor="text1"/>
          <w:kern w:val="1"/>
          <w:lang w:eastAsia="hi-IN" w:bidi="hi-IN"/>
        </w:rPr>
        <w:t xml:space="preserve">%. </w:t>
      </w:r>
    </w:p>
    <w:p w14:paraId="3E7B4EEF" w14:textId="77777777" w:rsidR="0028615B" w:rsidRPr="00587683" w:rsidRDefault="0028615B" w:rsidP="002861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7683">
        <w:rPr>
          <w:rFonts w:ascii="Times New Roman" w:hAnsi="Times New Roman" w:cs="Times New Roman"/>
          <w:color w:val="000000" w:themeColor="text1"/>
        </w:rPr>
        <w:t xml:space="preserve">I beneficiari accolti risultano prevalentemente titolari di protezione internazionale (45,7%) e richiedenti protezione </w:t>
      </w:r>
      <w:r w:rsidRPr="00587683">
        <w:rPr>
          <w:rFonts w:ascii="Times New Roman" w:hAnsi="Times New Roman" w:cs="Times New Roman"/>
        </w:rPr>
        <w:t>internazionale (25,7%), ma l’11,8% è titolar</w:t>
      </w:r>
      <w:r>
        <w:rPr>
          <w:rFonts w:ascii="Times New Roman" w:hAnsi="Times New Roman" w:cs="Times New Roman"/>
        </w:rPr>
        <w:t>e</w:t>
      </w:r>
      <w:r w:rsidRPr="00587683">
        <w:rPr>
          <w:rFonts w:ascii="Times New Roman" w:hAnsi="Times New Roman" w:cs="Times New Roman"/>
        </w:rPr>
        <w:t xml:space="preserve"> di permesso di soggiorno per minore età. I </w:t>
      </w:r>
      <w:r w:rsidRPr="00587683">
        <w:rPr>
          <w:rFonts w:ascii="Times New Roman" w:hAnsi="Times New Roman" w:cs="Times New Roman"/>
          <w:b/>
          <w:bCs/>
        </w:rPr>
        <w:t>minori stranieri non accompagnati</w:t>
      </w:r>
      <w:r w:rsidRPr="00587683">
        <w:rPr>
          <w:rFonts w:ascii="Times New Roman" w:hAnsi="Times New Roman" w:cs="Times New Roman"/>
        </w:rPr>
        <w:t xml:space="preserve"> rappresentano infatti un </w:t>
      </w:r>
      <w:r w:rsidRPr="00587683">
        <w:rPr>
          <w:rFonts w:ascii="Times New Roman" w:hAnsi="Times New Roman" w:cs="Times New Roman"/>
          <w:b/>
          <w:bCs/>
        </w:rPr>
        <w:t>segmento significativo degli accolti</w:t>
      </w:r>
      <w:r w:rsidRPr="00587683">
        <w:rPr>
          <w:rFonts w:ascii="Times New Roman" w:hAnsi="Times New Roman" w:cs="Times New Roman"/>
        </w:rPr>
        <w:t xml:space="preserve"> nel Sistema: sono stati </w:t>
      </w:r>
      <w:r w:rsidRPr="00587683">
        <w:rPr>
          <w:rFonts w:ascii="Times New Roman" w:hAnsi="Times New Roman" w:cs="Times New Roman"/>
          <w:b/>
          <w:bCs/>
        </w:rPr>
        <w:t>5.680</w:t>
      </w:r>
      <w:r w:rsidRPr="00587683">
        <w:rPr>
          <w:rFonts w:ascii="Times New Roman" w:hAnsi="Times New Roman" w:cs="Times New Roman"/>
        </w:rPr>
        <w:t>imsna accolti nel corso del 2020, il 97,3% dei quali giovani maschi provenienti principalmente da</w:t>
      </w:r>
      <w:r w:rsidRPr="00587683">
        <w:rPr>
          <w:rFonts w:ascii="Times New Roman" w:hAnsi="Times New Roman" w:cs="Times New Roman"/>
          <w:kern w:val="1"/>
          <w:lang w:eastAsia="hi-IN"/>
        </w:rPr>
        <w:t xml:space="preserve"> Bangladesh, Albania, Tunisia, Egitto, Pakistan, Gambia. </w:t>
      </w:r>
    </w:p>
    <w:p w14:paraId="1B900097" w14:textId="77777777" w:rsidR="0028615B" w:rsidRPr="00587683" w:rsidRDefault="0028615B" w:rsidP="0028615B">
      <w:pPr>
        <w:pStyle w:val="Testonormale"/>
        <w:jc w:val="both"/>
      </w:pPr>
      <w:r w:rsidRPr="00587683">
        <w:t xml:space="preserve">Rilevante la presenza di beneficiari in condizioni di vulnerabilità: </w:t>
      </w:r>
      <w:r w:rsidRPr="00587683">
        <w:rPr>
          <w:b/>
          <w:bCs/>
        </w:rPr>
        <w:t>5,8% vittime di tortura o violenze, 4,8% vittime di tratta, 3,1% con disagio mentale</w:t>
      </w:r>
      <w:r w:rsidRPr="00587683">
        <w:t xml:space="preserve">. </w:t>
      </w:r>
    </w:p>
    <w:p w14:paraId="7E736B8E" w14:textId="77777777" w:rsidR="0028615B" w:rsidRPr="00587683" w:rsidRDefault="0028615B" w:rsidP="0028615B">
      <w:pPr>
        <w:pStyle w:val="Testonormale"/>
        <w:jc w:val="both"/>
      </w:pPr>
      <w:r w:rsidRPr="00587683">
        <w:rPr>
          <w:b/>
          <w:bCs/>
        </w:rPr>
        <w:t xml:space="preserve">Nel corso del 2020, </w:t>
      </w:r>
      <w:r w:rsidRPr="00587683">
        <w:t xml:space="preserve">sono stati </w:t>
      </w:r>
      <w:r w:rsidRPr="00587683">
        <w:rPr>
          <w:b/>
          <w:bCs/>
        </w:rPr>
        <w:t>14.280 i beneficiari che sono usciti dall’accoglienza, di cui la metà a conclusione del percorso d’integrazione</w:t>
      </w:r>
      <w:r w:rsidRPr="00587683">
        <w:rPr>
          <w:bCs/>
        </w:rPr>
        <w:t xml:space="preserve">: </w:t>
      </w:r>
      <w:r w:rsidRPr="00587683">
        <w:t xml:space="preserve">un dato da leggere in maniera molto positiva in considerazione delle complessità e difficoltà contingenti. Grazie alla forte sinergia tra gli Enti locali e gli Enti attuatori giocano sul territorio, alla diversificazione di interventi mirati </w:t>
      </w:r>
      <w:proofErr w:type="gramStart"/>
      <w:r w:rsidRPr="00587683">
        <w:t>messi in campo</w:t>
      </w:r>
      <w:proofErr w:type="gramEnd"/>
      <w:r w:rsidRPr="00587683">
        <w:t xml:space="preserve"> per i beneficiari e all’impegno costante degli operatori, la rete del Sistema di accoglienza e integrazione continua a ricoprire un ruolo strategico per i territori, di volano per il welfare e per lo sviluppo locale.</w:t>
      </w:r>
    </w:p>
    <w:p w14:paraId="2CF22A76" w14:textId="77777777" w:rsidR="0028615B" w:rsidRDefault="0028615B" w:rsidP="0028615B">
      <w:pPr>
        <w:jc w:val="center"/>
        <w:rPr>
          <w:rFonts w:ascii="Times New Roman" w:hAnsi="Times New Roman" w:cs="Times New Roman"/>
          <w:b/>
          <w:bCs/>
        </w:rPr>
      </w:pPr>
    </w:p>
    <w:p w14:paraId="031C8F6C" w14:textId="77777777" w:rsidR="00221194" w:rsidRDefault="00221194"/>
    <w:sectPr w:rsidR="00221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2"/>
    <w:rsid w:val="00221194"/>
    <w:rsid w:val="0028615B"/>
    <w:rsid w:val="00B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B5B"/>
  <w15:chartTrackingRefBased/>
  <w15:docId w15:val="{9168AE4D-55A6-43AA-B2A4-833D786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5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8615B"/>
    <w:rPr>
      <w:rFonts w:ascii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15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28615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Pellicano</dc:creator>
  <cp:keywords/>
  <dc:description/>
  <cp:lastModifiedBy>Giuseppe Pellicano</cp:lastModifiedBy>
  <cp:revision>2</cp:revision>
  <dcterms:created xsi:type="dcterms:W3CDTF">2021-06-18T09:13:00Z</dcterms:created>
  <dcterms:modified xsi:type="dcterms:W3CDTF">2021-06-18T09:13:00Z</dcterms:modified>
</cp:coreProperties>
</file>