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6964" w14:textId="77777777" w:rsidR="00BF38C5" w:rsidRPr="00EF7BA0" w:rsidRDefault="00BF38C5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3F347EB5" w14:textId="036FE651" w:rsidR="00BF38C5" w:rsidRPr="00EF7BA0" w:rsidRDefault="00BF38C5" w:rsidP="00423BB9">
      <w:pPr>
        <w:spacing w:after="0" w:line="312" w:lineRule="auto"/>
        <w:jc w:val="center"/>
        <w:rPr>
          <w:rFonts w:ascii="Bookman Old Style" w:hAnsi="Bookman Old Style"/>
        </w:rPr>
      </w:pPr>
      <w:r w:rsidRPr="00EF7BA0">
        <w:rPr>
          <w:rFonts w:ascii="Bookman Old Style" w:eastAsia="Helvetica" w:hAnsi="Bookman Old Style"/>
          <w:noProof/>
          <w:lang w:eastAsia="it-IT"/>
        </w:rPr>
        <w:drawing>
          <wp:inline distT="0" distB="0" distL="0" distR="0" wp14:anchorId="459B3C42" wp14:editId="6F637FB3">
            <wp:extent cx="542925" cy="771525"/>
            <wp:effectExtent l="19050" t="0" r="9525" b="0"/>
            <wp:docPr id="1" name="Immagine 1" descr="logo a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n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5660B" w14:textId="77777777" w:rsidR="0052418A" w:rsidRPr="00EF7BA0" w:rsidRDefault="0052418A" w:rsidP="00423BB9">
      <w:pPr>
        <w:spacing w:after="0" w:line="312" w:lineRule="auto"/>
        <w:jc w:val="center"/>
        <w:rPr>
          <w:rFonts w:ascii="Bookman Old Style" w:hAnsi="Bookman Old Style"/>
          <w:i/>
          <w:iCs/>
        </w:rPr>
      </w:pPr>
    </w:p>
    <w:p w14:paraId="1671ECC5" w14:textId="77777777" w:rsidR="0052418A" w:rsidRPr="00EF7BA0" w:rsidRDefault="0052418A" w:rsidP="00423BB9">
      <w:pPr>
        <w:spacing w:after="0" w:line="312" w:lineRule="auto"/>
        <w:jc w:val="center"/>
        <w:rPr>
          <w:rFonts w:ascii="Bookman Old Style" w:hAnsi="Bookman Old Style"/>
          <w:i/>
          <w:iCs/>
        </w:rPr>
      </w:pPr>
    </w:p>
    <w:p w14:paraId="714581B5" w14:textId="708946A4" w:rsidR="007545A6" w:rsidRPr="00EF7BA0" w:rsidRDefault="007545A6" w:rsidP="00423BB9">
      <w:pPr>
        <w:spacing w:after="0" w:line="312" w:lineRule="auto"/>
        <w:jc w:val="center"/>
        <w:rPr>
          <w:rFonts w:ascii="Bookman Old Style" w:hAnsi="Bookman Old Style"/>
          <w:b/>
          <w:bCs/>
        </w:rPr>
      </w:pPr>
      <w:r w:rsidRPr="00EF7BA0">
        <w:rPr>
          <w:rFonts w:ascii="Bookman Old Style" w:hAnsi="Bookman Old Style"/>
          <w:b/>
          <w:bCs/>
        </w:rPr>
        <w:t>Audizione su A</w:t>
      </w:r>
      <w:r w:rsidR="0052418A" w:rsidRPr="00EF7BA0">
        <w:rPr>
          <w:rFonts w:ascii="Bookman Old Style" w:hAnsi="Bookman Old Style"/>
          <w:b/>
          <w:bCs/>
        </w:rPr>
        <w:t xml:space="preserve">tto del </w:t>
      </w:r>
      <w:r w:rsidRPr="00EF7BA0">
        <w:rPr>
          <w:rFonts w:ascii="Bookman Old Style" w:hAnsi="Bookman Old Style"/>
          <w:b/>
          <w:bCs/>
        </w:rPr>
        <w:t>G</w:t>
      </w:r>
      <w:r w:rsidR="0052418A" w:rsidRPr="00EF7BA0">
        <w:rPr>
          <w:rFonts w:ascii="Bookman Old Style" w:hAnsi="Bookman Old Style"/>
          <w:b/>
          <w:bCs/>
        </w:rPr>
        <w:t>overno n.</w:t>
      </w:r>
      <w:r w:rsidRPr="00EF7BA0">
        <w:rPr>
          <w:rFonts w:ascii="Bookman Old Style" w:hAnsi="Bookman Old Style"/>
          <w:b/>
          <w:bCs/>
        </w:rPr>
        <w:t>19</w:t>
      </w:r>
    </w:p>
    <w:p w14:paraId="4D84EAC9" w14:textId="77777777" w:rsidR="0052418A" w:rsidRPr="00EF7BA0" w:rsidRDefault="0052418A" w:rsidP="00423BB9">
      <w:pPr>
        <w:spacing w:after="0" w:line="312" w:lineRule="auto"/>
        <w:jc w:val="center"/>
        <w:rPr>
          <w:rFonts w:ascii="Bookman Old Style" w:hAnsi="Bookman Old Style"/>
          <w:b/>
          <w:bCs/>
        </w:rPr>
      </w:pPr>
    </w:p>
    <w:p w14:paraId="09FEEE0F" w14:textId="31B469A4" w:rsidR="000D5668" w:rsidRPr="00EF7BA0" w:rsidRDefault="000D5668" w:rsidP="00423BB9">
      <w:pPr>
        <w:spacing w:after="0" w:line="312" w:lineRule="auto"/>
        <w:jc w:val="center"/>
        <w:rPr>
          <w:rFonts w:ascii="Bookman Old Style" w:hAnsi="Bookman Old Style"/>
          <w:b/>
          <w:bCs/>
          <w:i/>
          <w:iCs/>
        </w:rPr>
      </w:pPr>
      <w:r w:rsidRPr="00EF7BA0">
        <w:rPr>
          <w:rFonts w:ascii="Bookman Old Style" w:hAnsi="Bookman Old Style"/>
          <w:b/>
          <w:bCs/>
          <w:i/>
          <w:iCs/>
        </w:rPr>
        <w:t xml:space="preserve">Schema </w:t>
      </w:r>
      <w:r w:rsidR="008B3AE6" w:rsidRPr="00EF7BA0">
        <w:rPr>
          <w:rFonts w:ascii="Bookman Old Style" w:hAnsi="Bookman Old Style"/>
          <w:b/>
          <w:bCs/>
          <w:i/>
          <w:iCs/>
        </w:rPr>
        <w:t xml:space="preserve">di decreto legislativo </w:t>
      </w:r>
      <w:r w:rsidR="001E0757" w:rsidRPr="00EF7BA0">
        <w:rPr>
          <w:rFonts w:ascii="Bookman Old Style" w:hAnsi="Bookman Old Style"/>
          <w:b/>
          <w:bCs/>
          <w:i/>
          <w:iCs/>
        </w:rPr>
        <w:t>recante “</w:t>
      </w:r>
      <w:r w:rsidRPr="00EF7BA0">
        <w:rPr>
          <w:rFonts w:ascii="Bookman Old Style" w:hAnsi="Bookman Old Style"/>
          <w:b/>
          <w:bCs/>
          <w:i/>
          <w:iCs/>
        </w:rPr>
        <w:t>Codice dei Contratti Pubblici</w:t>
      </w:r>
      <w:r w:rsidR="001E0757" w:rsidRPr="00EF7BA0">
        <w:rPr>
          <w:rFonts w:ascii="Bookman Old Style" w:hAnsi="Bookman Old Style"/>
          <w:b/>
          <w:bCs/>
          <w:i/>
          <w:iCs/>
        </w:rPr>
        <w:t>”</w:t>
      </w:r>
    </w:p>
    <w:p w14:paraId="0C7B1951" w14:textId="77777777" w:rsidR="0052418A" w:rsidRPr="00EF7BA0" w:rsidRDefault="0052418A" w:rsidP="00423BB9">
      <w:pPr>
        <w:spacing w:after="0" w:line="312" w:lineRule="auto"/>
        <w:jc w:val="center"/>
        <w:rPr>
          <w:rFonts w:ascii="Bookman Old Style" w:hAnsi="Bookman Old Style"/>
        </w:rPr>
      </w:pPr>
    </w:p>
    <w:p w14:paraId="0F124A3C" w14:textId="1C99EF7D" w:rsidR="0052418A" w:rsidRPr="00EF7BA0" w:rsidRDefault="0052418A" w:rsidP="00423BB9">
      <w:pPr>
        <w:spacing w:after="0" w:line="312" w:lineRule="auto"/>
        <w:jc w:val="center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 xml:space="preserve">Senato </w:t>
      </w:r>
      <w:r w:rsidR="00026652" w:rsidRPr="00EF7BA0">
        <w:rPr>
          <w:rFonts w:ascii="Bookman Old Style" w:hAnsi="Bookman Old Style"/>
        </w:rPr>
        <w:t>della Repubblica</w:t>
      </w:r>
    </w:p>
    <w:p w14:paraId="58855810" w14:textId="0E904CDC" w:rsidR="00026652" w:rsidRPr="00EF7BA0" w:rsidRDefault="00026652" w:rsidP="00423BB9">
      <w:pPr>
        <w:spacing w:after="0" w:line="312" w:lineRule="auto"/>
        <w:jc w:val="center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>VIII Commissione</w:t>
      </w:r>
    </w:p>
    <w:p w14:paraId="7B1A0BCC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8B195CF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12851F7A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4083369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745D08A9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2AE81EAE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2DA723D7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1144C89" w14:textId="77777777" w:rsidR="0052418A" w:rsidRPr="00EF7BA0" w:rsidRDefault="0052418A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6C6E46E2" w14:textId="77777777" w:rsidR="00395162" w:rsidRDefault="00395162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3644DEDC" w14:textId="77777777" w:rsidR="00395162" w:rsidRDefault="00395162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5CBC31CC" w14:textId="77777777" w:rsidR="00395162" w:rsidRDefault="00395162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3BE52726" w14:textId="77777777" w:rsidR="00395162" w:rsidRDefault="00395162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5E302AEE" w14:textId="3ACF405E" w:rsidR="004A523C" w:rsidRPr="00EF7BA0" w:rsidRDefault="0019641B" w:rsidP="00423BB9">
      <w:p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 xml:space="preserve">Roma, </w:t>
      </w:r>
      <w:r w:rsidR="0052418A" w:rsidRPr="00EF7BA0">
        <w:rPr>
          <w:rFonts w:ascii="Bookman Old Style" w:hAnsi="Bookman Old Style"/>
        </w:rPr>
        <w:t>31</w:t>
      </w:r>
      <w:r w:rsidRPr="00EF7BA0">
        <w:rPr>
          <w:rFonts w:ascii="Bookman Old Style" w:hAnsi="Bookman Old Style"/>
        </w:rPr>
        <w:t xml:space="preserve"> gennaio 2023</w:t>
      </w:r>
    </w:p>
    <w:p w14:paraId="58B4D0D3" w14:textId="2BBC0353" w:rsidR="00FB17C3" w:rsidRPr="00EF7BA0" w:rsidRDefault="00FB17C3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66D8445E" w14:textId="11C3B35A" w:rsidR="00FB17C3" w:rsidRPr="00EF7BA0" w:rsidRDefault="00FB17C3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1BC43813" w14:textId="4323A68E" w:rsidR="00FB17C3" w:rsidRDefault="00FB17C3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49B97C03" w14:textId="42C532DE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223D578D" w14:textId="26547B17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1202E40B" w14:textId="13F346CD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76EFE0EA" w14:textId="6B9464EB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36F08B93" w14:textId="45275826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116D8A2A" w14:textId="325A375D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4A0AB6E9" w14:textId="1817F777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6A7D5C81" w14:textId="6652BD9E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F4140CD" w14:textId="555FA940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51ECDF9B" w14:textId="074B119B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65EF280B" w14:textId="22E02BCE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CFD3057" w14:textId="68343D6A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3724F41C" w14:textId="1FB59F87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510B016F" w14:textId="27747AF7" w:rsidR="00004631" w:rsidRPr="009C31D2" w:rsidRDefault="00004631" w:rsidP="00423BB9">
      <w:pPr>
        <w:pStyle w:val="Paragrafoelenco"/>
        <w:numPr>
          <w:ilvl w:val="0"/>
          <w:numId w:val="6"/>
        </w:numPr>
        <w:spacing w:after="0" w:line="312" w:lineRule="auto"/>
        <w:jc w:val="both"/>
        <w:rPr>
          <w:rFonts w:ascii="Bookman Old Style" w:hAnsi="Bookman Old Style"/>
          <w:b/>
          <w:bCs/>
          <w:i/>
          <w:iCs/>
        </w:rPr>
      </w:pPr>
      <w:r w:rsidRPr="009C31D2">
        <w:rPr>
          <w:rFonts w:ascii="Bookman Old Style" w:hAnsi="Bookman Old Style"/>
          <w:b/>
          <w:bCs/>
          <w:i/>
          <w:iCs/>
        </w:rPr>
        <w:lastRenderedPageBreak/>
        <w:t>Premessa</w:t>
      </w:r>
    </w:p>
    <w:p w14:paraId="52FA9C5D" w14:textId="77777777" w:rsidR="00423BB9" w:rsidRDefault="00423BB9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5AB282F4" w14:textId="095C0D6B" w:rsidR="00BC626D" w:rsidRDefault="003B5D3B" w:rsidP="00423BB9">
      <w:pPr>
        <w:spacing w:after="0" w:line="312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Quella del nuovo Codice Appalti è sicuramente la riforma più impattante sul sistema ordinamentale d</w:t>
      </w:r>
      <w:r w:rsidR="00CA6A5D">
        <w:rPr>
          <w:rFonts w:ascii="Bookman Old Style" w:hAnsi="Bookman Old Style"/>
        </w:rPr>
        <w:t xml:space="preserve">i Comuni e Città Metropolitane, tra </w:t>
      </w:r>
      <w:r>
        <w:rPr>
          <w:rFonts w:ascii="Bookman Old Style" w:hAnsi="Bookman Old Style"/>
        </w:rPr>
        <w:t xml:space="preserve">quelle previste dal Pnrr. </w:t>
      </w:r>
      <w:r w:rsidR="00CA6A5D">
        <w:rPr>
          <w:rFonts w:ascii="Bookman Old Style" w:hAnsi="Bookman Old Style"/>
        </w:rPr>
        <w:t xml:space="preserve">Ciò in quanto, se non accompagnata da un’adeguata fase transitoria, come </w:t>
      </w:r>
      <w:r w:rsidR="00BC626D">
        <w:rPr>
          <w:rFonts w:ascii="Bookman Old Style" w:hAnsi="Bookman Old Style"/>
        </w:rPr>
        <w:t>richiesto dall’Associazione, il rischio concreto della nuova disciplina sugli affidamenti di lavori, servizi e forniture, rischia di determinare un serio e grave rallentamento degli investimenti d</w:t>
      </w:r>
      <w:r w:rsidR="00CF6BBB">
        <w:rPr>
          <w:rFonts w:ascii="Bookman Old Style" w:hAnsi="Bookman Old Style"/>
        </w:rPr>
        <w:t>a parte d</w:t>
      </w:r>
      <w:r w:rsidR="00BC626D">
        <w:rPr>
          <w:rFonts w:ascii="Bookman Old Style" w:hAnsi="Bookman Old Style"/>
        </w:rPr>
        <w:t xml:space="preserve">ei principali investitori pubblici, </w:t>
      </w:r>
      <w:r w:rsidR="00BC626D" w:rsidRPr="00BC626D">
        <w:rPr>
          <w:rFonts w:ascii="Bookman Old Style" w:hAnsi="Bookman Old Style"/>
          <w:b/>
          <w:bCs/>
        </w:rPr>
        <w:t xml:space="preserve">ossia i Comuni e le Città Metropolitane, che rappresentano l’80% degli investimenti del Paese nel triennio 2018-2020 (dati Corte dei Conti in sede di audizione alla Camera dei Deputati, nel febbraio 2021). </w:t>
      </w:r>
    </w:p>
    <w:p w14:paraId="2B7B65C3" w14:textId="1FF3CAF6" w:rsidR="00CF6BBB" w:rsidRPr="00CF6BBB" w:rsidRDefault="00CF6BBB" w:rsidP="00423BB9">
      <w:pPr>
        <w:spacing w:after="0" w:line="312" w:lineRule="auto"/>
        <w:jc w:val="both"/>
        <w:rPr>
          <w:rFonts w:ascii="Bookman Old Style" w:hAnsi="Bookman Old Style"/>
        </w:rPr>
      </w:pPr>
      <w:r w:rsidRPr="00CF6BBB">
        <w:rPr>
          <w:rFonts w:ascii="Bookman Old Style" w:hAnsi="Bookman Old Style"/>
        </w:rPr>
        <w:t>Né va sott</w:t>
      </w:r>
      <w:r>
        <w:rPr>
          <w:rFonts w:ascii="Bookman Old Style" w:hAnsi="Bookman Old Style"/>
        </w:rPr>
        <w:t>ovalutato</w:t>
      </w:r>
      <w:r w:rsidRPr="00CF6BBB">
        <w:rPr>
          <w:rFonts w:ascii="Bookman Old Style" w:hAnsi="Bookman Old Style"/>
        </w:rPr>
        <w:t xml:space="preserve"> che </w:t>
      </w:r>
      <w:r>
        <w:rPr>
          <w:rFonts w:ascii="Bookman Old Style" w:hAnsi="Bookman Old Style"/>
        </w:rPr>
        <w:t xml:space="preserve">proprio </w:t>
      </w:r>
      <w:proofErr w:type="spellStart"/>
      <w:r w:rsidRPr="00CF6BBB">
        <w:rPr>
          <w:rFonts w:ascii="Bookman Old Style" w:hAnsi="Bookman Old Style"/>
        </w:rPr>
        <w:t>Pnrrr</w:t>
      </w:r>
      <w:proofErr w:type="spellEnd"/>
      <w:r>
        <w:rPr>
          <w:rFonts w:ascii="Bookman Old Style" w:hAnsi="Bookman Old Style"/>
        </w:rPr>
        <w:t xml:space="preserve">, </w:t>
      </w:r>
      <w:r w:rsidRPr="00CF6BBB">
        <w:rPr>
          <w:rFonts w:ascii="Bookman Old Style" w:hAnsi="Bookman Old Style"/>
        </w:rPr>
        <w:t>assegna ai Comuni e alle Città Metropolitane circa 40 miliardi di euro e che l’entrata in vigore del</w:t>
      </w:r>
      <w:r>
        <w:rPr>
          <w:rFonts w:ascii="Bookman Old Style" w:hAnsi="Bookman Old Style"/>
        </w:rPr>
        <w:t xml:space="preserve"> nuovo Codice, proprio nel momento </w:t>
      </w:r>
      <w:r w:rsidRPr="00CF6BB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 cui</w:t>
      </w:r>
      <w:r w:rsidRPr="00CF6BBB">
        <w:rPr>
          <w:rFonts w:ascii="Bookman Old Style" w:hAnsi="Bookman Old Style"/>
        </w:rPr>
        <w:t xml:space="preserve"> Comuni e Città Metropolitane sono impegnat</w:t>
      </w:r>
      <w:r>
        <w:rPr>
          <w:rFonts w:ascii="Bookman Old Style" w:hAnsi="Bookman Old Style"/>
        </w:rPr>
        <w:t>i</w:t>
      </w:r>
      <w:r w:rsidRPr="00CF6BBB">
        <w:rPr>
          <w:rFonts w:ascii="Bookman Old Style" w:hAnsi="Bookman Old Style"/>
        </w:rPr>
        <w:t xml:space="preserve"> nell’attuazione di progetti già finanziati</w:t>
      </w:r>
      <w:r>
        <w:rPr>
          <w:rFonts w:ascii="Bookman Old Style" w:hAnsi="Bookman Old Style"/>
        </w:rPr>
        <w:t xml:space="preserve">, </w:t>
      </w:r>
      <w:r w:rsidRPr="00CF6BBB">
        <w:rPr>
          <w:rFonts w:ascii="Bookman Old Style" w:hAnsi="Bookman Old Style"/>
        </w:rPr>
        <w:t xml:space="preserve">rischia di compromettere anche il rispetto dei target assegnati dalla U.E. </w:t>
      </w:r>
    </w:p>
    <w:p w14:paraId="6EECE8AF" w14:textId="2BC17EF3" w:rsidR="00CF6BBB" w:rsidRDefault="00CF6BBB" w:rsidP="00423BB9">
      <w:pPr>
        <w:spacing w:after="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delicatezza degli interessi in gioco richiede dunque un’ulteriore riflessione da parte del Parlamento ed un’equilibrata soluzione alle principali problematiche sollevate in Conferenza Unificata dall’Associazione.  </w:t>
      </w:r>
    </w:p>
    <w:p w14:paraId="1EEC1AF4" w14:textId="0DD6463B" w:rsidR="00DB0329" w:rsidRPr="00EF7BA0" w:rsidRDefault="00FF39DA" w:rsidP="00423BB9">
      <w:pPr>
        <w:spacing w:after="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tal fine, d</w:t>
      </w:r>
      <w:r w:rsidR="0005560A" w:rsidRPr="00EF7BA0">
        <w:rPr>
          <w:rFonts w:ascii="Bookman Old Style" w:hAnsi="Bookman Old Style"/>
        </w:rPr>
        <w:t>i</w:t>
      </w:r>
      <w:r w:rsidR="000F708A" w:rsidRPr="00EF7BA0">
        <w:rPr>
          <w:rFonts w:ascii="Bookman Old Style" w:hAnsi="Bookman Old Style"/>
        </w:rPr>
        <w:t xml:space="preserve"> seguito</w:t>
      </w:r>
      <w:r>
        <w:rPr>
          <w:rFonts w:ascii="Bookman Old Style" w:hAnsi="Bookman Old Style"/>
        </w:rPr>
        <w:t>,</w:t>
      </w:r>
      <w:r w:rsidR="000F708A" w:rsidRPr="00EF7BA0">
        <w:rPr>
          <w:rFonts w:ascii="Bookman Old Style" w:hAnsi="Bookman Old Style"/>
        </w:rPr>
        <w:t xml:space="preserve"> si riportano le principali </w:t>
      </w:r>
      <w:r w:rsidR="00CF6BBB">
        <w:rPr>
          <w:rFonts w:ascii="Bookman Old Style" w:hAnsi="Bookman Old Style"/>
        </w:rPr>
        <w:t>valutazioni sullo schema di decreto legislativo recante il nuovo “Codice dei Contratti Pubblici”</w:t>
      </w:r>
      <w:r>
        <w:rPr>
          <w:rFonts w:ascii="Bookman Old Style" w:hAnsi="Bookman Old Style"/>
        </w:rPr>
        <w:t xml:space="preserve"> e proposte emendative sulle principali criticità. </w:t>
      </w:r>
    </w:p>
    <w:p w14:paraId="3972573A" w14:textId="77777777" w:rsidR="00A206DB" w:rsidRPr="00EF7BA0" w:rsidRDefault="00A206DB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CDC3AE7" w14:textId="7181E544" w:rsidR="00354FA0" w:rsidRPr="009C31D2" w:rsidRDefault="00354FA0" w:rsidP="00423BB9">
      <w:pPr>
        <w:pStyle w:val="Paragrafoelenco"/>
        <w:numPr>
          <w:ilvl w:val="0"/>
          <w:numId w:val="6"/>
        </w:numPr>
        <w:spacing w:after="0" w:line="312" w:lineRule="auto"/>
        <w:jc w:val="both"/>
        <w:rPr>
          <w:rFonts w:ascii="Bookman Old Style" w:hAnsi="Bookman Old Style"/>
          <w:b/>
          <w:bCs/>
          <w:i/>
          <w:iCs/>
        </w:rPr>
      </w:pPr>
      <w:r w:rsidRPr="009C31D2">
        <w:rPr>
          <w:rFonts w:ascii="Bookman Old Style" w:hAnsi="Bookman Old Style"/>
          <w:b/>
          <w:bCs/>
          <w:i/>
          <w:iCs/>
        </w:rPr>
        <w:t>Osservazioni</w:t>
      </w:r>
      <w:r w:rsidR="003268F7">
        <w:rPr>
          <w:rFonts w:ascii="Bookman Old Style" w:hAnsi="Bookman Old Style"/>
          <w:b/>
          <w:bCs/>
          <w:i/>
          <w:iCs/>
        </w:rPr>
        <w:t xml:space="preserve"> generali</w:t>
      </w:r>
    </w:p>
    <w:p w14:paraId="7DD5372A" w14:textId="77777777" w:rsidR="002212B2" w:rsidRDefault="002212B2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20C629A9" w14:textId="3D55F8C0" w:rsidR="00B30032" w:rsidRPr="00EF7BA0" w:rsidRDefault="0094422D" w:rsidP="00423BB9">
      <w:p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 xml:space="preserve">I </w:t>
      </w:r>
      <w:r w:rsidR="00300689" w:rsidRPr="00EF7BA0">
        <w:rPr>
          <w:rFonts w:ascii="Bookman Old Style" w:hAnsi="Bookman Old Style"/>
          <w:b/>
          <w:bCs/>
        </w:rPr>
        <w:t>Principali punti di positività</w:t>
      </w:r>
      <w:r w:rsidRPr="00EF7BA0">
        <w:rPr>
          <w:rFonts w:ascii="Bookman Old Style" w:hAnsi="Bookman Old Style"/>
        </w:rPr>
        <w:t xml:space="preserve"> del nuovo </w:t>
      </w:r>
      <w:r w:rsidR="00523BA8">
        <w:rPr>
          <w:rFonts w:ascii="Bookman Old Style" w:hAnsi="Bookman Old Style"/>
        </w:rPr>
        <w:t>C</w:t>
      </w:r>
      <w:r w:rsidRPr="00EF7BA0">
        <w:rPr>
          <w:rFonts w:ascii="Bookman Old Style" w:hAnsi="Bookman Old Style"/>
        </w:rPr>
        <w:t>odice</w:t>
      </w:r>
      <w:r w:rsidRPr="00EF7BA0">
        <w:rPr>
          <w:rFonts w:ascii="Bookman Old Style" w:hAnsi="Bookman Old Style"/>
          <w:b/>
          <w:bCs/>
        </w:rPr>
        <w:t xml:space="preserve"> </w:t>
      </w:r>
      <w:r w:rsidRPr="00EF7BA0">
        <w:rPr>
          <w:rFonts w:ascii="Bookman Old Style" w:hAnsi="Bookman Old Style"/>
        </w:rPr>
        <w:t>riguardano la messa</w:t>
      </w:r>
      <w:r w:rsidRPr="00EF7BA0">
        <w:rPr>
          <w:rFonts w:ascii="Bookman Old Style" w:hAnsi="Bookman Old Style"/>
          <w:b/>
          <w:bCs/>
        </w:rPr>
        <w:t xml:space="preserve"> </w:t>
      </w:r>
      <w:r w:rsidRPr="00EF7BA0">
        <w:rPr>
          <w:rFonts w:ascii="Bookman Old Style" w:hAnsi="Bookman Old Style"/>
        </w:rPr>
        <w:t>“</w:t>
      </w:r>
      <w:r w:rsidR="00B80BFE" w:rsidRPr="00EF7BA0">
        <w:rPr>
          <w:rFonts w:ascii="Bookman Old Style" w:hAnsi="Bookman Old Style"/>
        </w:rPr>
        <w:t>a regime</w:t>
      </w:r>
      <w:r w:rsidR="00300689" w:rsidRPr="00EF7BA0">
        <w:rPr>
          <w:rFonts w:ascii="Bookman Old Style" w:hAnsi="Bookman Old Style"/>
        </w:rPr>
        <w:t xml:space="preserve">” </w:t>
      </w:r>
      <w:r w:rsidRPr="00EF7BA0">
        <w:rPr>
          <w:rFonts w:ascii="Bookman Old Style" w:hAnsi="Bookman Old Style"/>
        </w:rPr>
        <w:t>di alcune discipline</w:t>
      </w:r>
      <w:r w:rsidR="00682998" w:rsidRPr="00EF7BA0">
        <w:rPr>
          <w:rFonts w:ascii="Bookman Old Style" w:hAnsi="Bookman Old Style"/>
        </w:rPr>
        <w:t xml:space="preserve"> </w:t>
      </w:r>
      <w:r w:rsidR="00AD36D3" w:rsidRPr="00EF7BA0">
        <w:rPr>
          <w:rFonts w:ascii="Bookman Old Style" w:hAnsi="Bookman Old Style"/>
        </w:rPr>
        <w:t>attualmente utilizzate come derog</w:t>
      </w:r>
      <w:r w:rsidR="00FF39DA">
        <w:rPr>
          <w:rFonts w:ascii="Bookman Old Style" w:hAnsi="Bookman Old Style"/>
        </w:rPr>
        <w:t>he</w:t>
      </w:r>
      <w:r w:rsidR="00AD36D3" w:rsidRPr="00EF7BA0">
        <w:rPr>
          <w:rFonts w:ascii="Bookman Old Style" w:hAnsi="Bookman Old Style"/>
        </w:rPr>
        <w:t xml:space="preserve"> al </w:t>
      </w:r>
      <w:proofErr w:type="spellStart"/>
      <w:r w:rsidR="00AD36D3" w:rsidRPr="00EF7BA0">
        <w:rPr>
          <w:rFonts w:ascii="Bookman Old Style" w:hAnsi="Bookman Old Style"/>
        </w:rPr>
        <w:t>d.lgs</w:t>
      </w:r>
      <w:proofErr w:type="spellEnd"/>
      <w:r w:rsidR="00AD36D3" w:rsidRPr="00EF7BA0">
        <w:rPr>
          <w:rFonts w:ascii="Bookman Old Style" w:hAnsi="Bookman Old Style"/>
        </w:rPr>
        <w:t xml:space="preserve"> 50/16: </w:t>
      </w:r>
    </w:p>
    <w:p w14:paraId="3EDF979A" w14:textId="64F2AC4B" w:rsidR="00B30032" w:rsidRPr="00EF7BA0" w:rsidRDefault="00B80BFE" w:rsidP="00423BB9">
      <w:pPr>
        <w:pStyle w:val="Paragrafoelenco"/>
        <w:numPr>
          <w:ilvl w:val="0"/>
          <w:numId w:val="7"/>
        </w:num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>procedure</w:t>
      </w:r>
      <w:r w:rsidR="00300689" w:rsidRPr="00EF7BA0">
        <w:rPr>
          <w:rFonts w:ascii="Bookman Old Style" w:hAnsi="Bookman Old Style"/>
        </w:rPr>
        <w:t xml:space="preserve"> </w:t>
      </w:r>
      <w:r w:rsidR="00FF39DA">
        <w:rPr>
          <w:rFonts w:ascii="Bookman Old Style" w:hAnsi="Bookman Old Style"/>
        </w:rPr>
        <w:t xml:space="preserve">semplificate </w:t>
      </w:r>
      <w:r w:rsidR="00300689" w:rsidRPr="00EF7BA0">
        <w:rPr>
          <w:rFonts w:ascii="Bookman Old Style" w:hAnsi="Bookman Old Style"/>
        </w:rPr>
        <w:t xml:space="preserve">per gli </w:t>
      </w:r>
      <w:r w:rsidRPr="00EF7BA0">
        <w:rPr>
          <w:rFonts w:ascii="Bookman Old Style" w:hAnsi="Bookman Old Style"/>
        </w:rPr>
        <w:t>affidamenti sottosoglia</w:t>
      </w:r>
      <w:r w:rsidR="00300689" w:rsidRPr="00EF7BA0">
        <w:rPr>
          <w:rFonts w:ascii="Bookman Old Style" w:hAnsi="Bookman Old Style"/>
        </w:rPr>
        <w:t xml:space="preserve"> </w:t>
      </w:r>
      <w:r w:rsidR="00FF39DA">
        <w:rPr>
          <w:rFonts w:ascii="Bookman Old Style" w:hAnsi="Bookman Old Style"/>
        </w:rPr>
        <w:t xml:space="preserve">già introdotte con il </w:t>
      </w:r>
      <w:r w:rsidR="00300689" w:rsidRPr="00EF7BA0">
        <w:rPr>
          <w:rFonts w:ascii="Bookman Old Style" w:hAnsi="Bookman Old Style"/>
        </w:rPr>
        <w:t xml:space="preserve">dl 76/2022 e </w:t>
      </w:r>
      <w:r w:rsidR="005102C5" w:rsidRPr="00EF7BA0">
        <w:rPr>
          <w:rFonts w:ascii="Bookman Old Style" w:hAnsi="Bookman Old Style"/>
        </w:rPr>
        <w:t>d</w:t>
      </w:r>
      <w:r w:rsidR="00300689" w:rsidRPr="00EF7BA0">
        <w:rPr>
          <w:rFonts w:ascii="Bookman Old Style" w:hAnsi="Bookman Old Style"/>
        </w:rPr>
        <w:t>l 77/2021</w:t>
      </w:r>
      <w:r w:rsidR="005102C5" w:rsidRPr="00EF7BA0">
        <w:rPr>
          <w:rFonts w:ascii="Bookman Old Style" w:hAnsi="Bookman Old Style"/>
        </w:rPr>
        <w:t xml:space="preserve">; </w:t>
      </w:r>
    </w:p>
    <w:p w14:paraId="1AC83604" w14:textId="77777777" w:rsidR="00B03321" w:rsidRPr="00EF7BA0" w:rsidRDefault="00300689" w:rsidP="00423BB9">
      <w:pPr>
        <w:pStyle w:val="Paragrafoelenco"/>
        <w:numPr>
          <w:ilvl w:val="0"/>
          <w:numId w:val="7"/>
        </w:num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>appalto integrato sulla base del progetto di fattibilità tecnico ed economica</w:t>
      </w:r>
      <w:r w:rsidR="005102C5" w:rsidRPr="00EF7BA0">
        <w:rPr>
          <w:rFonts w:ascii="Bookman Old Style" w:hAnsi="Bookman Old Style"/>
        </w:rPr>
        <w:t xml:space="preserve">; </w:t>
      </w:r>
    </w:p>
    <w:p w14:paraId="5FF8D1FB" w14:textId="38B6F402" w:rsidR="006C07AA" w:rsidRPr="00EF7BA0" w:rsidRDefault="003B5D3B" w:rsidP="00423BB9">
      <w:pPr>
        <w:pStyle w:val="Paragrafoelenco"/>
        <w:numPr>
          <w:ilvl w:val="0"/>
          <w:numId w:val="7"/>
        </w:numPr>
        <w:spacing w:after="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6C07AA" w:rsidRPr="00EF7BA0">
        <w:rPr>
          <w:rFonts w:ascii="Bookman Old Style" w:hAnsi="Bookman Old Style"/>
        </w:rPr>
        <w:t xml:space="preserve">a riforma del processo amministrativo che </w:t>
      </w:r>
      <w:r w:rsidR="00FF39DA">
        <w:rPr>
          <w:rFonts w:ascii="Bookman Old Style" w:hAnsi="Bookman Old Style"/>
        </w:rPr>
        <w:t xml:space="preserve">mira a non bloccare le opere pubbliche rendendo più difficile l’ottenimento della c.d. </w:t>
      </w:r>
      <w:r w:rsidR="006C07AA" w:rsidRPr="00EF7BA0">
        <w:rPr>
          <w:rFonts w:ascii="Bookman Old Style" w:hAnsi="Bookman Old Style"/>
        </w:rPr>
        <w:t>sospensiva</w:t>
      </w:r>
      <w:r w:rsidR="00FF39DA">
        <w:rPr>
          <w:rFonts w:ascii="Bookman Old Style" w:hAnsi="Bookman Old Style"/>
        </w:rPr>
        <w:t xml:space="preserve"> attraverso l’applicazione del principio del contemperamento degli interessi pubblici</w:t>
      </w:r>
      <w:r w:rsidR="006C07AA" w:rsidRPr="00EF7BA0">
        <w:rPr>
          <w:rFonts w:ascii="Bookman Old Style" w:hAnsi="Bookman Old Style"/>
        </w:rPr>
        <w:t>;</w:t>
      </w:r>
    </w:p>
    <w:p w14:paraId="069916A0" w14:textId="36DBE60B" w:rsidR="00625179" w:rsidRPr="00EF7BA0" w:rsidRDefault="003B5D3B" w:rsidP="00423BB9">
      <w:pPr>
        <w:pStyle w:val="Paragrafoelenco"/>
        <w:numPr>
          <w:ilvl w:val="0"/>
          <w:numId w:val="7"/>
        </w:numPr>
        <w:spacing w:after="0" w:line="312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l</w:t>
      </w:r>
      <w:r w:rsidR="006C07AA" w:rsidRPr="00EF7BA0">
        <w:rPr>
          <w:rFonts w:ascii="Bookman Old Style" w:hAnsi="Bookman Old Style"/>
        </w:rPr>
        <w:t>a valorizzazione dell’appalto cd congiunto che consente un accordo tra stazioni appaltanti ex articolo 15 della legge 241/1990 per l’affidamento di un lavoro, servizio o acquisto di fornitura</w:t>
      </w:r>
    </w:p>
    <w:p w14:paraId="0D90AB41" w14:textId="1196C2E5" w:rsidR="002212B2" w:rsidRDefault="00682998" w:rsidP="00094031">
      <w:pPr>
        <w:pStyle w:val="Paragrafoelenco"/>
        <w:numPr>
          <w:ilvl w:val="0"/>
          <w:numId w:val="7"/>
        </w:numPr>
        <w:spacing w:after="0" w:line="312" w:lineRule="auto"/>
        <w:jc w:val="both"/>
        <w:rPr>
          <w:rFonts w:ascii="Bookman Old Style" w:hAnsi="Bookman Old Style"/>
        </w:rPr>
      </w:pPr>
      <w:r w:rsidRPr="00FF39DA">
        <w:rPr>
          <w:rFonts w:ascii="Bookman Old Style" w:hAnsi="Bookman Old Style"/>
        </w:rPr>
        <w:t>eliminazione di un livello progettuale (non c’è più il progetto definitivo</w:t>
      </w:r>
      <w:r w:rsidR="00FF39DA">
        <w:rPr>
          <w:rFonts w:ascii="Bookman Old Style" w:hAnsi="Bookman Old Style"/>
        </w:rPr>
        <w:t xml:space="preserve">).  Su </w:t>
      </w:r>
      <w:proofErr w:type="gramStart"/>
      <w:r w:rsidR="00FF39DA">
        <w:rPr>
          <w:rFonts w:ascii="Bookman Old Style" w:hAnsi="Bookman Old Style"/>
        </w:rPr>
        <w:t>questo tuttavia</w:t>
      </w:r>
      <w:proofErr w:type="gramEnd"/>
      <w:r w:rsidR="00FF39DA">
        <w:rPr>
          <w:rFonts w:ascii="Bookman Old Style" w:hAnsi="Bookman Old Style"/>
        </w:rPr>
        <w:t xml:space="preserve"> si auspica un alleggerimento delle previsioni contenute nell’allegato 1.7 in merito al PFTE. </w:t>
      </w:r>
    </w:p>
    <w:p w14:paraId="5A31FDD5" w14:textId="77777777" w:rsidR="00FF39DA" w:rsidRPr="00FF39DA" w:rsidRDefault="00FF39DA" w:rsidP="00FF39DA">
      <w:pPr>
        <w:pStyle w:val="Paragrafoelenco"/>
        <w:spacing w:after="0" w:line="312" w:lineRule="auto"/>
        <w:ind w:left="1080"/>
        <w:jc w:val="both"/>
        <w:rPr>
          <w:rFonts w:ascii="Bookman Old Style" w:hAnsi="Bookman Old Style"/>
        </w:rPr>
      </w:pPr>
    </w:p>
    <w:p w14:paraId="2E748A9D" w14:textId="77B24868" w:rsidR="0086601E" w:rsidRPr="00EF7BA0" w:rsidRDefault="0086601E" w:rsidP="00423BB9">
      <w:p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</w:rPr>
        <w:t xml:space="preserve">Positivo anche </w:t>
      </w:r>
      <w:r w:rsidRPr="00EF7BA0">
        <w:rPr>
          <w:rFonts w:ascii="Bookman Old Style" w:hAnsi="Bookman Old Style"/>
          <w:b/>
          <w:bCs/>
        </w:rPr>
        <w:t>l’innalzamento della soglia</w:t>
      </w:r>
      <w:r w:rsidRPr="00EF7BA0">
        <w:rPr>
          <w:rFonts w:ascii="Bookman Old Style" w:hAnsi="Bookman Old Style"/>
        </w:rPr>
        <w:t xml:space="preserve"> </w:t>
      </w:r>
      <w:r w:rsidRPr="00EF7BA0">
        <w:rPr>
          <w:rFonts w:ascii="Bookman Old Style" w:hAnsi="Bookman Old Style"/>
          <w:b/>
          <w:bCs/>
        </w:rPr>
        <w:t xml:space="preserve">oltre la quale vige l’obbligo di aggregazione </w:t>
      </w:r>
      <w:r w:rsidR="009433E3" w:rsidRPr="00EF7BA0">
        <w:rPr>
          <w:rFonts w:ascii="Bookman Old Style" w:hAnsi="Bookman Old Style"/>
          <w:b/>
          <w:bCs/>
        </w:rPr>
        <w:t xml:space="preserve">e </w:t>
      </w:r>
      <w:r w:rsidR="00D0474D" w:rsidRPr="00EF7BA0">
        <w:rPr>
          <w:rFonts w:ascii="Bookman Old Style" w:hAnsi="Bookman Old Style"/>
          <w:b/>
          <w:bCs/>
        </w:rPr>
        <w:t>la qualificazione del</w:t>
      </w:r>
      <w:r w:rsidR="002B3B0A" w:rsidRPr="00EF7BA0">
        <w:rPr>
          <w:rFonts w:ascii="Bookman Old Style" w:hAnsi="Bookman Old Style"/>
          <w:b/>
          <w:bCs/>
        </w:rPr>
        <w:t>l’affidamento dei lavori</w:t>
      </w:r>
      <w:r w:rsidR="00D0474D" w:rsidRPr="00EF7BA0">
        <w:rPr>
          <w:rFonts w:ascii="Bookman Old Style" w:hAnsi="Bookman Old Style"/>
        </w:rPr>
        <w:t xml:space="preserve">, </w:t>
      </w:r>
      <w:r w:rsidR="00C4712F" w:rsidRPr="00EF7BA0">
        <w:rPr>
          <w:rFonts w:ascii="Bookman Old Style" w:hAnsi="Bookman Old Style"/>
        </w:rPr>
        <w:t xml:space="preserve">che il </w:t>
      </w:r>
      <w:r w:rsidR="00D0474D" w:rsidRPr="00EF7BA0">
        <w:rPr>
          <w:rFonts w:ascii="Bookman Old Style" w:hAnsi="Bookman Old Style"/>
        </w:rPr>
        <w:t>nu</w:t>
      </w:r>
      <w:r w:rsidR="009433E3" w:rsidRPr="00EF7BA0">
        <w:rPr>
          <w:rFonts w:ascii="Bookman Old Style" w:hAnsi="Bookman Old Style"/>
        </w:rPr>
        <w:t>o</w:t>
      </w:r>
      <w:r w:rsidR="00D0474D" w:rsidRPr="00EF7BA0">
        <w:rPr>
          <w:rFonts w:ascii="Bookman Old Style" w:hAnsi="Bookman Old Style"/>
        </w:rPr>
        <w:t xml:space="preserve">vo </w:t>
      </w:r>
      <w:r w:rsidR="00101619">
        <w:rPr>
          <w:rFonts w:ascii="Bookman Old Style" w:hAnsi="Bookman Old Style"/>
        </w:rPr>
        <w:t>C</w:t>
      </w:r>
      <w:r w:rsidR="00D0474D" w:rsidRPr="00EF7BA0">
        <w:rPr>
          <w:rFonts w:ascii="Bookman Old Style" w:hAnsi="Bookman Old Style"/>
        </w:rPr>
        <w:t>odice p</w:t>
      </w:r>
      <w:r w:rsidR="009433E3" w:rsidRPr="00EF7BA0">
        <w:rPr>
          <w:rFonts w:ascii="Bookman Old Style" w:hAnsi="Bookman Old Style"/>
        </w:rPr>
        <w:t xml:space="preserve">orta a </w:t>
      </w:r>
      <w:r w:rsidR="009433E3" w:rsidRPr="00EF7BA0">
        <w:rPr>
          <w:rFonts w:ascii="Bookman Old Style" w:hAnsi="Bookman Old Style"/>
          <w:b/>
          <w:bCs/>
        </w:rPr>
        <w:t>500mila euro</w:t>
      </w:r>
      <w:r w:rsidR="00A4036E" w:rsidRPr="00EF7BA0">
        <w:rPr>
          <w:rFonts w:ascii="Bookman Old Style" w:hAnsi="Bookman Old Style"/>
          <w:b/>
          <w:bCs/>
        </w:rPr>
        <w:t xml:space="preserve"> </w:t>
      </w:r>
      <w:r w:rsidR="00A4036E" w:rsidRPr="00EF7BA0">
        <w:rPr>
          <w:rFonts w:ascii="Bookman Old Style" w:hAnsi="Bookman Old Style"/>
        </w:rPr>
        <w:t>-</w:t>
      </w:r>
      <w:r w:rsidR="003F3C4C" w:rsidRPr="00EF7BA0">
        <w:rPr>
          <w:rFonts w:ascii="Bookman Old Style" w:hAnsi="Bookman Old Style"/>
        </w:rPr>
        <w:t xml:space="preserve"> </w:t>
      </w:r>
      <w:r w:rsidR="00A4036E" w:rsidRPr="00EF7BA0">
        <w:rPr>
          <w:rFonts w:ascii="Bookman Old Style" w:hAnsi="Bookman Old Style"/>
        </w:rPr>
        <w:t>limite giusto ed equo -</w:t>
      </w:r>
      <w:r w:rsidR="00A4036E" w:rsidRPr="00EF7BA0">
        <w:rPr>
          <w:rFonts w:ascii="Bookman Old Style" w:hAnsi="Bookman Old Style"/>
          <w:b/>
          <w:bCs/>
        </w:rPr>
        <w:t xml:space="preserve"> </w:t>
      </w:r>
      <w:r w:rsidR="003F3C4C" w:rsidRPr="00EF7BA0">
        <w:rPr>
          <w:rFonts w:ascii="Bookman Old Style" w:hAnsi="Bookman Old Style"/>
        </w:rPr>
        <w:t xml:space="preserve">rispetto a quella </w:t>
      </w:r>
      <w:r w:rsidR="00D6361B" w:rsidRPr="00EF7BA0">
        <w:rPr>
          <w:rFonts w:ascii="Bookman Old Style" w:hAnsi="Bookman Old Style"/>
        </w:rPr>
        <w:t xml:space="preserve">preliminarmente </w:t>
      </w:r>
      <w:r w:rsidR="003F3C4C" w:rsidRPr="00EF7BA0">
        <w:rPr>
          <w:rFonts w:ascii="Bookman Old Style" w:hAnsi="Bookman Old Style"/>
        </w:rPr>
        <w:t>indicata nelle linee Guida ANAC</w:t>
      </w:r>
      <w:r w:rsidR="00EF3F7A" w:rsidRPr="00EF7BA0">
        <w:rPr>
          <w:rFonts w:ascii="Bookman Old Style" w:hAnsi="Bookman Old Style"/>
        </w:rPr>
        <w:t xml:space="preserve"> </w:t>
      </w:r>
      <w:r w:rsidR="00EF3F7A" w:rsidRPr="00EF7BA0">
        <w:rPr>
          <w:rFonts w:ascii="Bookman Old Style" w:hAnsi="Bookman Old Style"/>
        </w:rPr>
        <w:lastRenderedPageBreak/>
        <w:t>di cui alla delibera 4</w:t>
      </w:r>
      <w:r w:rsidR="00511779" w:rsidRPr="00EF7BA0">
        <w:rPr>
          <w:rFonts w:ascii="Bookman Old Style" w:hAnsi="Bookman Old Style"/>
        </w:rPr>
        <w:t>4</w:t>
      </w:r>
      <w:r w:rsidR="00EF3F7A" w:rsidRPr="00EF7BA0">
        <w:rPr>
          <w:rFonts w:ascii="Bookman Old Style" w:hAnsi="Bookman Old Style"/>
        </w:rPr>
        <w:t>1</w:t>
      </w:r>
      <w:r w:rsidR="00511779" w:rsidRPr="00EF7BA0">
        <w:rPr>
          <w:rFonts w:ascii="Bookman Old Style" w:hAnsi="Bookman Old Style"/>
        </w:rPr>
        <w:t xml:space="preserve"> del 28 settembre </w:t>
      </w:r>
      <w:r w:rsidR="00EF3F7A" w:rsidRPr="00EF7BA0">
        <w:rPr>
          <w:rFonts w:ascii="Bookman Old Style" w:hAnsi="Bookman Old Style"/>
        </w:rPr>
        <w:t>2022</w:t>
      </w:r>
      <w:r w:rsidR="00C91D63" w:rsidRPr="00EF7BA0">
        <w:rPr>
          <w:rFonts w:ascii="Bookman Old Style" w:hAnsi="Bookman Old Style"/>
        </w:rPr>
        <w:t xml:space="preserve"> che si limitava a richiamare </w:t>
      </w:r>
      <w:r w:rsidR="00BD4482" w:rsidRPr="00EF7BA0">
        <w:rPr>
          <w:rFonts w:ascii="Bookman Old Style" w:hAnsi="Bookman Old Style"/>
        </w:rPr>
        <w:t xml:space="preserve">la soglia per </w:t>
      </w:r>
      <w:r w:rsidR="00C91D63" w:rsidRPr="00EF7BA0">
        <w:rPr>
          <w:rFonts w:ascii="Bookman Old Style" w:hAnsi="Bookman Old Style"/>
        </w:rPr>
        <w:t>l’af</w:t>
      </w:r>
      <w:r w:rsidR="00BD4482" w:rsidRPr="00EF7BA0">
        <w:rPr>
          <w:rFonts w:ascii="Bookman Old Style" w:hAnsi="Bookman Old Style"/>
        </w:rPr>
        <w:t>f</w:t>
      </w:r>
      <w:r w:rsidR="00C91D63" w:rsidRPr="00EF7BA0">
        <w:rPr>
          <w:rFonts w:ascii="Bookman Old Style" w:hAnsi="Bookman Old Style"/>
        </w:rPr>
        <w:t>id</w:t>
      </w:r>
      <w:r w:rsidR="00BD4482" w:rsidRPr="00EF7BA0">
        <w:rPr>
          <w:rFonts w:ascii="Bookman Old Style" w:hAnsi="Bookman Old Style"/>
        </w:rPr>
        <w:t>a</w:t>
      </w:r>
      <w:r w:rsidR="00C91D63" w:rsidRPr="00EF7BA0">
        <w:rPr>
          <w:rFonts w:ascii="Bookman Old Style" w:hAnsi="Bookman Old Style"/>
        </w:rPr>
        <w:t>m</w:t>
      </w:r>
      <w:r w:rsidR="00BD4482" w:rsidRPr="00EF7BA0">
        <w:rPr>
          <w:rFonts w:ascii="Bookman Old Style" w:hAnsi="Bookman Old Style"/>
        </w:rPr>
        <w:t>e</w:t>
      </w:r>
      <w:r w:rsidR="00C91D63" w:rsidRPr="00EF7BA0">
        <w:rPr>
          <w:rFonts w:ascii="Bookman Old Style" w:hAnsi="Bookman Old Style"/>
        </w:rPr>
        <w:t>nto diretto dei lavori</w:t>
      </w:r>
      <w:r w:rsidR="00BD4482" w:rsidRPr="00EF7BA0">
        <w:rPr>
          <w:rFonts w:ascii="Bookman Old Style" w:hAnsi="Bookman Old Style"/>
        </w:rPr>
        <w:t xml:space="preserve"> (150mila euro)</w:t>
      </w:r>
      <w:r w:rsidR="009433E3" w:rsidRPr="00EF7BA0">
        <w:rPr>
          <w:rFonts w:ascii="Bookman Old Style" w:hAnsi="Bookman Old Style"/>
        </w:rPr>
        <w:t>.</w:t>
      </w:r>
    </w:p>
    <w:p w14:paraId="28313E69" w14:textId="7C73D934" w:rsidR="007412B6" w:rsidRPr="00EF7BA0" w:rsidRDefault="00D939A6" w:rsidP="00423BB9">
      <w:pPr>
        <w:spacing w:after="0" w:line="312" w:lineRule="auto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  <w:u w:val="single"/>
        </w:rPr>
        <w:t xml:space="preserve">Su tale specifico aspetto </w:t>
      </w:r>
      <w:r w:rsidR="00BD4482" w:rsidRPr="00EF7BA0">
        <w:rPr>
          <w:rFonts w:ascii="Bookman Old Style" w:hAnsi="Bookman Old Style"/>
          <w:u w:val="single"/>
        </w:rPr>
        <w:t xml:space="preserve">preme </w:t>
      </w:r>
      <w:r w:rsidR="000D4DDB" w:rsidRPr="00EF7BA0">
        <w:rPr>
          <w:rFonts w:ascii="Bookman Old Style" w:hAnsi="Bookman Old Style"/>
          <w:u w:val="single"/>
        </w:rPr>
        <w:t>evidenziare che la succitata</w:t>
      </w:r>
      <w:r w:rsidR="00850B9F" w:rsidRPr="00EF7BA0">
        <w:rPr>
          <w:rFonts w:ascii="Bookman Old Style" w:hAnsi="Bookman Old Style"/>
          <w:u w:val="single"/>
        </w:rPr>
        <w:t xml:space="preserve"> </w:t>
      </w:r>
      <w:r w:rsidR="000D4DDB" w:rsidRPr="00EF7BA0">
        <w:rPr>
          <w:rFonts w:ascii="Bookman Old Style" w:hAnsi="Bookman Old Style"/>
          <w:u w:val="single"/>
        </w:rPr>
        <w:t xml:space="preserve">soglia </w:t>
      </w:r>
      <w:r w:rsidR="00116253" w:rsidRPr="00EF7BA0">
        <w:rPr>
          <w:rFonts w:ascii="Bookman Old Style" w:hAnsi="Bookman Old Style"/>
          <w:u w:val="single"/>
        </w:rPr>
        <w:t>permette</w:t>
      </w:r>
      <w:r w:rsidR="005F52BA" w:rsidRPr="00EF7BA0">
        <w:rPr>
          <w:rFonts w:ascii="Bookman Old Style" w:hAnsi="Bookman Old Style"/>
          <w:u w:val="single"/>
        </w:rPr>
        <w:t xml:space="preserve"> unicamente </w:t>
      </w:r>
      <w:r w:rsidR="00FC19F1">
        <w:rPr>
          <w:rFonts w:ascii="Bookman Old Style" w:hAnsi="Bookman Old Style"/>
          <w:u w:val="single"/>
        </w:rPr>
        <w:t>di</w:t>
      </w:r>
      <w:r w:rsidR="005F52BA" w:rsidRPr="00EF7BA0">
        <w:rPr>
          <w:rFonts w:ascii="Bookman Old Style" w:hAnsi="Bookman Old Style"/>
          <w:u w:val="single"/>
        </w:rPr>
        <w:t xml:space="preserve"> non avere l’obbligo di ricorrere ad altro soggetto qualificato per gli affidamenti di lavori pubblici ma non per fare affidamenti diretti, la cui soglia rimane quella dei 150mila euro.</w:t>
      </w:r>
      <w:r w:rsidR="005F52BA" w:rsidRPr="00EF7BA0">
        <w:rPr>
          <w:rFonts w:ascii="Bookman Old Style" w:hAnsi="Bookman Old Style"/>
        </w:rPr>
        <w:t xml:space="preserve"> </w:t>
      </w:r>
      <w:r w:rsidR="00116253" w:rsidRPr="00EF7BA0">
        <w:rPr>
          <w:rFonts w:ascii="Bookman Old Style" w:hAnsi="Bookman Old Style"/>
        </w:rPr>
        <w:t>E’ del tutto evidente che</w:t>
      </w:r>
      <w:r w:rsidR="00850B9F" w:rsidRPr="00EF7BA0">
        <w:rPr>
          <w:rFonts w:ascii="Bookman Old Style" w:hAnsi="Bookman Old Style"/>
        </w:rPr>
        <w:t xml:space="preserve"> ciò </w:t>
      </w:r>
      <w:r w:rsidR="00C4712F" w:rsidRPr="00EF7BA0">
        <w:rPr>
          <w:rFonts w:ascii="Bookman Old Style" w:hAnsi="Bookman Old Style"/>
        </w:rPr>
        <w:t>non inficia affatto la professionalizzazione delle stazioni appaltanti</w:t>
      </w:r>
      <w:r w:rsidR="00A54EF4">
        <w:rPr>
          <w:rFonts w:ascii="Bookman Old Style" w:hAnsi="Bookman Old Style"/>
        </w:rPr>
        <w:t xml:space="preserve">, principio su cui ANCI concorda pienamente, ma significa semplicemente che </w:t>
      </w:r>
      <w:proofErr w:type="gramStart"/>
      <w:r w:rsidR="00A54EF4">
        <w:rPr>
          <w:rFonts w:ascii="Bookman Old Style" w:hAnsi="Bookman Old Style"/>
        </w:rPr>
        <w:t>il  Comune</w:t>
      </w:r>
      <w:proofErr w:type="gramEnd"/>
      <w:r w:rsidR="00A54EF4">
        <w:rPr>
          <w:rFonts w:ascii="Bookman Old Style" w:hAnsi="Bookman Old Style"/>
        </w:rPr>
        <w:t xml:space="preserve"> non qualificato potrà svolgere la sua procedura negoziata in modo autonomo, senza dover ricorrere obbligatoriamente a soggetti qualificati, per appalti superiori a 150mila euro e fino a 500mila euro, come già previsto dal Dl 76/2022. </w:t>
      </w:r>
    </w:p>
    <w:p w14:paraId="62B9DCF4" w14:textId="77777777" w:rsidR="00844D58" w:rsidRDefault="00844D58" w:rsidP="00423BB9">
      <w:pPr>
        <w:spacing w:after="0" w:line="312" w:lineRule="auto"/>
        <w:jc w:val="both"/>
        <w:rPr>
          <w:rFonts w:ascii="Bookman Old Style" w:hAnsi="Bookman Old Style"/>
          <w:u w:val="single"/>
        </w:rPr>
      </w:pPr>
    </w:p>
    <w:p w14:paraId="210C9DDC" w14:textId="609C2EBC" w:rsidR="00220610" w:rsidRPr="00EF7BA0" w:rsidRDefault="006F6F4A" w:rsidP="00423BB9">
      <w:pPr>
        <w:spacing w:after="0" w:line="312" w:lineRule="auto"/>
        <w:jc w:val="both"/>
        <w:rPr>
          <w:rFonts w:ascii="Bookman Old Style" w:hAnsi="Bookman Old Style"/>
        </w:rPr>
      </w:pPr>
      <w:r w:rsidRPr="00E24EF6">
        <w:rPr>
          <w:rFonts w:ascii="Bookman Old Style" w:hAnsi="Bookman Old Style"/>
          <w:u w:val="single"/>
        </w:rPr>
        <w:t xml:space="preserve">Si portano all’attenzione, </w:t>
      </w:r>
      <w:r w:rsidR="00EF7BA0" w:rsidRPr="00E24EF6">
        <w:rPr>
          <w:rFonts w:ascii="Bookman Old Style" w:hAnsi="Bookman Old Style"/>
          <w:u w:val="single"/>
        </w:rPr>
        <w:t>quindi</w:t>
      </w:r>
      <w:r w:rsidRPr="00E24EF6">
        <w:rPr>
          <w:rFonts w:ascii="Bookman Old Style" w:hAnsi="Bookman Old Style"/>
          <w:u w:val="single"/>
        </w:rPr>
        <w:t>,</w:t>
      </w:r>
      <w:r w:rsidRPr="00E24EF6">
        <w:rPr>
          <w:rFonts w:ascii="Bookman Old Style" w:hAnsi="Bookman Old Style"/>
          <w:b/>
          <w:bCs/>
          <w:u w:val="single"/>
        </w:rPr>
        <w:t xml:space="preserve"> </w:t>
      </w:r>
      <w:r w:rsidRPr="00E24EF6">
        <w:rPr>
          <w:rFonts w:ascii="Bookman Old Style" w:hAnsi="Bookman Old Style"/>
          <w:u w:val="single"/>
        </w:rPr>
        <w:t>i</w:t>
      </w:r>
      <w:r w:rsidR="005F2717" w:rsidRPr="00E24EF6">
        <w:rPr>
          <w:rFonts w:ascii="Bookman Old Style" w:hAnsi="Bookman Old Style"/>
          <w:u w:val="single"/>
        </w:rPr>
        <w:t xml:space="preserve"> </w:t>
      </w:r>
      <w:r w:rsidR="00B80BFE" w:rsidRPr="000946FF">
        <w:rPr>
          <w:rFonts w:ascii="Bookman Old Style" w:hAnsi="Bookman Old Style"/>
          <w:b/>
          <w:bCs/>
          <w:u w:val="single"/>
        </w:rPr>
        <w:t>Principali punti di criticità</w:t>
      </w:r>
      <w:r w:rsidR="005F2717" w:rsidRPr="00E24EF6">
        <w:rPr>
          <w:rFonts w:ascii="Bookman Old Style" w:hAnsi="Bookman Old Style"/>
          <w:b/>
          <w:bCs/>
          <w:u w:val="single"/>
        </w:rPr>
        <w:t xml:space="preserve"> </w:t>
      </w:r>
      <w:r w:rsidRPr="00E24EF6">
        <w:rPr>
          <w:rFonts w:ascii="Bookman Old Style" w:hAnsi="Bookman Old Style"/>
          <w:b/>
          <w:bCs/>
          <w:u w:val="single"/>
        </w:rPr>
        <w:t xml:space="preserve">dello schema di decreto legislativo </w:t>
      </w:r>
      <w:r w:rsidR="001A151B" w:rsidRPr="00707AEE">
        <w:rPr>
          <w:rFonts w:ascii="Bookman Old Style" w:hAnsi="Bookman Old Style"/>
        </w:rPr>
        <w:t xml:space="preserve">che </w:t>
      </w:r>
      <w:r w:rsidR="00707AEE" w:rsidRPr="00707AEE">
        <w:rPr>
          <w:rFonts w:ascii="Bookman Old Style" w:hAnsi="Bookman Old Style"/>
        </w:rPr>
        <w:t>necessitano di</w:t>
      </w:r>
      <w:r w:rsidR="00E24EF6">
        <w:rPr>
          <w:rFonts w:ascii="Bookman Old Style" w:hAnsi="Bookman Old Style"/>
        </w:rPr>
        <w:t xml:space="preserve"> chiarimenti e/o modifiche,</w:t>
      </w:r>
      <w:r w:rsidR="00220610" w:rsidRPr="00EF7BA0">
        <w:rPr>
          <w:rFonts w:ascii="Bookman Old Style" w:hAnsi="Bookman Old Style"/>
        </w:rPr>
        <w:t xml:space="preserve"> </w:t>
      </w:r>
      <w:r w:rsidR="005F2717" w:rsidRPr="00EF7BA0">
        <w:rPr>
          <w:rFonts w:ascii="Bookman Old Style" w:hAnsi="Bookman Old Style"/>
        </w:rPr>
        <w:t>fra cui</w:t>
      </w:r>
      <w:r w:rsidR="00220610" w:rsidRPr="00EF7BA0">
        <w:rPr>
          <w:rFonts w:ascii="Bookman Old Style" w:hAnsi="Bookman Old Style"/>
        </w:rPr>
        <w:t xml:space="preserve">: </w:t>
      </w:r>
    </w:p>
    <w:p w14:paraId="09B53AAC" w14:textId="77777777" w:rsidR="00A54EF4" w:rsidRPr="00A54EF4" w:rsidRDefault="00DB77A7" w:rsidP="00DC49F9">
      <w:pPr>
        <w:pStyle w:val="Corpotesto"/>
        <w:numPr>
          <w:ilvl w:val="0"/>
          <w:numId w:val="4"/>
        </w:numPr>
        <w:spacing w:line="312" w:lineRule="auto"/>
        <w:ind w:left="425" w:right="112" w:hanging="357"/>
        <w:rPr>
          <w:rFonts w:ascii="Bookman Old Style" w:hAnsi="Bookman Old Style"/>
          <w:sz w:val="22"/>
          <w:szCs w:val="22"/>
        </w:rPr>
      </w:pPr>
      <w:r w:rsidRPr="00A54EF4">
        <w:rPr>
          <w:rFonts w:ascii="Bookman Old Style" w:hAnsi="Bookman Old Style"/>
          <w:b/>
          <w:bCs/>
          <w:sz w:val="22"/>
          <w:szCs w:val="22"/>
        </w:rPr>
        <w:t>chiari</w:t>
      </w:r>
      <w:r w:rsidR="00844D58" w:rsidRPr="00A54EF4">
        <w:rPr>
          <w:rFonts w:ascii="Bookman Old Style" w:hAnsi="Bookman Old Style"/>
          <w:b/>
          <w:bCs/>
          <w:sz w:val="22"/>
          <w:szCs w:val="22"/>
        </w:rPr>
        <w:t xml:space="preserve">re </w:t>
      </w:r>
      <w:r w:rsidRPr="00A54EF4">
        <w:rPr>
          <w:rFonts w:ascii="Bookman Old Style" w:hAnsi="Bookman Old Style"/>
          <w:b/>
          <w:bCs/>
          <w:sz w:val="22"/>
          <w:szCs w:val="22"/>
        </w:rPr>
        <w:t xml:space="preserve">la possibilità di individuare il </w:t>
      </w:r>
      <w:proofErr w:type="spellStart"/>
      <w:r w:rsidRPr="00A54EF4">
        <w:rPr>
          <w:rFonts w:ascii="Bookman Old Style" w:hAnsi="Bookman Old Style"/>
          <w:b/>
          <w:bCs/>
          <w:sz w:val="22"/>
          <w:szCs w:val="22"/>
        </w:rPr>
        <w:t>Rup</w:t>
      </w:r>
      <w:proofErr w:type="spellEnd"/>
      <w:r w:rsidRPr="00A54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C2A8A" w:rsidRPr="00A54EF4">
        <w:rPr>
          <w:rFonts w:ascii="Bookman Old Style" w:hAnsi="Bookman Old Style"/>
          <w:b/>
          <w:bCs/>
          <w:sz w:val="22"/>
          <w:szCs w:val="22"/>
        </w:rPr>
        <w:t xml:space="preserve">anche </w:t>
      </w:r>
      <w:r w:rsidRPr="00A54EF4">
        <w:rPr>
          <w:rFonts w:ascii="Bookman Old Style" w:hAnsi="Bookman Old Style"/>
          <w:b/>
          <w:bCs/>
          <w:sz w:val="22"/>
          <w:szCs w:val="22"/>
        </w:rPr>
        <w:t xml:space="preserve">tra dipendenti </w:t>
      </w:r>
      <w:r w:rsidR="005C2A8A" w:rsidRPr="00A54EF4">
        <w:rPr>
          <w:rFonts w:ascii="Bookman Old Style" w:hAnsi="Bookman Old Style"/>
          <w:b/>
          <w:bCs/>
          <w:sz w:val="22"/>
          <w:szCs w:val="22"/>
        </w:rPr>
        <w:t>a tempi determinato</w:t>
      </w:r>
      <w:r w:rsidR="004F5385" w:rsidRPr="00A54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F5385" w:rsidRPr="00A54EF4">
        <w:rPr>
          <w:rFonts w:ascii="Bookman Old Style" w:hAnsi="Bookman Old Style"/>
          <w:sz w:val="22"/>
          <w:szCs w:val="22"/>
        </w:rPr>
        <w:t>(art. 15</w:t>
      </w:r>
      <w:r w:rsidR="00744A1C" w:rsidRPr="00A54EF4">
        <w:rPr>
          <w:rFonts w:ascii="Bookman Old Style" w:hAnsi="Bookman Old Style"/>
          <w:sz w:val="22"/>
          <w:szCs w:val="22"/>
        </w:rPr>
        <w:t xml:space="preserve">. c. </w:t>
      </w:r>
      <w:r w:rsidR="00F44404" w:rsidRPr="00A54EF4">
        <w:rPr>
          <w:rFonts w:ascii="Bookman Old Style" w:hAnsi="Bookman Old Style"/>
          <w:sz w:val="22"/>
          <w:szCs w:val="22"/>
        </w:rPr>
        <w:t>2</w:t>
      </w:r>
      <w:r w:rsidR="004F5385" w:rsidRPr="00A54EF4">
        <w:rPr>
          <w:rFonts w:ascii="Bookman Old Style" w:hAnsi="Bookman Old Style"/>
          <w:sz w:val="22"/>
          <w:szCs w:val="22"/>
        </w:rPr>
        <w:t>)</w:t>
      </w:r>
      <w:r w:rsidRPr="00A54EF4">
        <w:rPr>
          <w:rFonts w:ascii="Bookman Old Style" w:hAnsi="Bookman Old Style"/>
          <w:sz w:val="22"/>
          <w:szCs w:val="22"/>
        </w:rPr>
        <w:t>,</w:t>
      </w:r>
      <w:r w:rsidRPr="00A54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C2A8A" w:rsidRPr="00A54EF4">
        <w:rPr>
          <w:rFonts w:ascii="Bookman Old Style" w:hAnsi="Bookman Old Style"/>
          <w:sz w:val="22"/>
          <w:szCs w:val="22"/>
        </w:rPr>
        <w:t>ciò</w:t>
      </w:r>
      <w:r w:rsidR="005C2A8A" w:rsidRPr="00A54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54EF4">
        <w:rPr>
          <w:rFonts w:ascii="Bookman Old Style" w:hAnsi="Bookman Old Style"/>
          <w:sz w:val="22"/>
          <w:szCs w:val="22"/>
        </w:rPr>
        <w:t xml:space="preserve">al fine di </w:t>
      </w:r>
      <w:r w:rsidR="005E015E" w:rsidRPr="00A54EF4">
        <w:rPr>
          <w:rFonts w:ascii="Bookman Old Style" w:hAnsi="Bookman Old Style"/>
          <w:sz w:val="22"/>
          <w:szCs w:val="22"/>
        </w:rPr>
        <w:t>consentire la speditezza procedurale anche per amministrazioni a minore complessità organizzativa</w:t>
      </w:r>
      <w:r w:rsidR="0027183F" w:rsidRPr="00A54EF4">
        <w:rPr>
          <w:rFonts w:ascii="Bookman Old Style" w:hAnsi="Bookman Old Style"/>
          <w:sz w:val="22"/>
          <w:szCs w:val="22"/>
        </w:rPr>
        <w:t xml:space="preserve">. </w:t>
      </w:r>
      <w:r w:rsidR="0027183F" w:rsidRPr="00A54EF4">
        <w:rPr>
          <w:rFonts w:ascii="Bookman Old Style" w:hAnsi="Bookman Old Style"/>
          <w:sz w:val="22"/>
          <w:szCs w:val="22"/>
          <w:u w:val="single"/>
        </w:rPr>
        <w:t xml:space="preserve">Su tale </w:t>
      </w:r>
      <w:r w:rsidR="00DB4877" w:rsidRPr="00A54EF4">
        <w:rPr>
          <w:rFonts w:ascii="Bookman Old Style" w:hAnsi="Bookman Old Style"/>
          <w:sz w:val="22"/>
          <w:szCs w:val="22"/>
          <w:u w:val="single"/>
        </w:rPr>
        <w:t>proposta</w:t>
      </w:r>
      <w:r w:rsidR="00C425E5" w:rsidRPr="00A54EF4">
        <w:rPr>
          <w:rFonts w:ascii="Bookman Old Style" w:hAnsi="Bookman Old Style"/>
          <w:sz w:val="22"/>
          <w:szCs w:val="22"/>
          <w:u w:val="single"/>
        </w:rPr>
        <w:t xml:space="preserve"> in sede tecnica di </w:t>
      </w:r>
      <w:r w:rsidR="00084CAB" w:rsidRPr="00A54EF4">
        <w:rPr>
          <w:rFonts w:ascii="Bookman Old Style" w:hAnsi="Bookman Old Style"/>
          <w:sz w:val="22"/>
          <w:szCs w:val="22"/>
          <w:u w:val="single"/>
        </w:rPr>
        <w:t>C</w:t>
      </w:r>
      <w:r w:rsidR="00C425E5" w:rsidRPr="00A54EF4">
        <w:rPr>
          <w:rFonts w:ascii="Bookman Old Style" w:hAnsi="Bookman Old Style"/>
          <w:sz w:val="22"/>
          <w:szCs w:val="22"/>
          <w:u w:val="single"/>
        </w:rPr>
        <w:t xml:space="preserve">onferenza </w:t>
      </w:r>
      <w:r w:rsidR="00084CAB" w:rsidRPr="00A54EF4">
        <w:rPr>
          <w:rFonts w:ascii="Bookman Old Style" w:hAnsi="Bookman Old Style"/>
          <w:sz w:val="22"/>
          <w:szCs w:val="22"/>
          <w:u w:val="single"/>
        </w:rPr>
        <w:t>U</w:t>
      </w:r>
      <w:r w:rsidR="00C425E5" w:rsidRPr="00A54EF4">
        <w:rPr>
          <w:rFonts w:ascii="Bookman Old Style" w:hAnsi="Bookman Old Style"/>
          <w:sz w:val="22"/>
          <w:szCs w:val="22"/>
          <w:u w:val="single"/>
        </w:rPr>
        <w:t>nificata</w:t>
      </w:r>
      <w:r w:rsidR="00084CAB" w:rsidRPr="00A54EF4">
        <w:rPr>
          <w:rFonts w:ascii="Bookman Old Style" w:hAnsi="Bookman Old Style"/>
          <w:sz w:val="22"/>
          <w:szCs w:val="22"/>
          <w:u w:val="single"/>
        </w:rPr>
        <w:t>,</w:t>
      </w:r>
      <w:r w:rsidR="00C425E5" w:rsidRPr="00A54EF4">
        <w:rPr>
          <w:rFonts w:ascii="Bookman Old Style" w:hAnsi="Bookman Old Style"/>
          <w:sz w:val="22"/>
          <w:szCs w:val="22"/>
          <w:u w:val="single"/>
        </w:rPr>
        <w:t xml:space="preserve"> il Governo</w:t>
      </w:r>
      <w:r w:rsidR="00DB4877" w:rsidRPr="00A54EF4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490183" w:rsidRPr="00A54EF4">
        <w:rPr>
          <w:rFonts w:ascii="Bookman Old Style" w:hAnsi="Bookman Old Style"/>
          <w:sz w:val="22"/>
          <w:szCs w:val="22"/>
          <w:u w:val="single"/>
        </w:rPr>
        <w:t xml:space="preserve">si è impegnato a declinare </w:t>
      </w:r>
      <w:r w:rsidR="00AE6DD2" w:rsidRPr="00A54EF4">
        <w:rPr>
          <w:rFonts w:ascii="Bookman Old Style" w:hAnsi="Bookman Old Style"/>
          <w:sz w:val="22"/>
          <w:szCs w:val="22"/>
          <w:u w:val="single"/>
        </w:rPr>
        <w:t>il principio emendativo che consente di individuare il RUP anche fra il personale assunto a tempo determinato</w:t>
      </w:r>
      <w:r w:rsidR="00490183" w:rsidRPr="00A54EF4">
        <w:rPr>
          <w:rFonts w:ascii="Bookman Old Style" w:hAnsi="Bookman Old Style"/>
          <w:sz w:val="22"/>
          <w:szCs w:val="22"/>
          <w:u w:val="single"/>
        </w:rPr>
        <w:t xml:space="preserve">. </w:t>
      </w:r>
      <w:r w:rsidR="00A54EF4" w:rsidRPr="00A54EF4">
        <w:rPr>
          <w:rFonts w:ascii="Bookman Old Style" w:hAnsi="Bookman Old Style"/>
          <w:sz w:val="22"/>
          <w:szCs w:val="22"/>
          <w:u w:val="single"/>
        </w:rPr>
        <w:t xml:space="preserve">Auspichiamo che tale impegno venga tradotto in modifica al testo del provvedimento. </w:t>
      </w:r>
    </w:p>
    <w:p w14:paraId="2BA456DA" w14:textId="3DD0E4D3" w:rsidR="00A03649" w:rsidRPr="00A54EF4" w:rsidRDefault="00101619" w:rsidP="00DC49F9">
      <w:pPr>
        <w:pStyle w:val="Corpotesto"/>
        <w:numPr>
          <w:ilvl w:val="0"/>
          <w:numId w:val="4"/>
        </w:numPr>
        <w:spacing w:line="312" w:lineRule="auto"/>
        <w:ind w:left="425" w:right="112" w:hanging="357"/>
        <w:rPr>
          <w:rFonts w:ascii="Bookman Old Style" w:hAnsi="Bookman Old Style"/>
          <w:sz w:val="22"/>
          <w:szCs w:val="22"/>
        </w:rPr>
      </w:pPr>
      <w:r w:rsidRPr="00A54EF4">
        <w:rPr>
          <w:rFonts w:ascii="Bookman Old Style" w:hAnsi="Bookman Old Style"/>
          <w:sz w:val="22"/>
          <w:szCs w:val="22"/>
        </w:rPr>
        <w:t>p</w:t>
      </w:r>
      <w:r w:rsidR="00A03649" w:rsidRPr="00A54EF4">
        <w:rPr>
          <w:rFonts w:ascii="Bookman Old Style" w:hAnsi="Bookman Old Style"/>
          <w:sz w:val="22"/>
          <w:szCs w:val="22"/>
        </w:rPr>
        <w:t>revedere cha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 xml:space="preserve"> la programmazione triennale delle opere </w:t>
      </w:r>
      <w:r w:rsidR="00A54EF4">
        <w:rPr>
          <w:rFonts w:ascii="Bookman Old Style" w:hAnsi="Bookman Old Style"/>
          <w:b/>
          <w:bCs/>
          <w:sz w:val="22"/>
          <w:szCs w:val="22"/>
        </w:rPr>
        <w:t xml:space="preserve">pubbliche nonché quella biennale degli acquisti di beni e servizi 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>non debba</w:t>
      </w:r>
      <w:r w:rsidR="000A0A7D">
        <w:rPr>
          <w:rFonts w:ascii="Bookman Old Style" w:hAnsi="Bookman Old Style"/>
          <w:b/>
          <w:bCs/>
          <w:sz w:val="22"/>
          <w:szCs w:val="22"/>
        </w:rPr>
        <w:t>no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 xml:space="preserve"> essere </w:t>
      </w:r>
      <w:r w:rsidR="00A54EF4">
        <w:rPr>
          <w:rFonts w:ascii="Bookman Old Style" w:hAnsi="Bookman Old Style"/>
          <w:b/>
          <w:bCs/>
          <w:sz w:val="22"/>
          <w:szCs w:val="22"/>
        </w:rPr>
        <w:t>“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>contestualmente</w:t>
      </w:r>
      <w:r w:rsidR="00A54EF4">
        <w:rPr>
          <w:rFonts w:ascii="Bookman Old Style" w:hAnsi="Bookman Old Style"/>
          <w:b/>
          <w:bCs/>
          <w:sz w:val="22"/>
          <w:szCs w:val="22"/>
        </w:rPr>
        <w:t>”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 xml:space="preserve"> accompagnat</w:t>
      </w:r>
      <w:r w:rsidR="000A0A7D">
        <w:rPr>
          <w:rFonts w:ascii="Bookman Old Style" w:hAnsi="Bookman Old Style"/>
          <w:b/>
          <w:bCs/>
          <w:sz w:val="22"/>
          <w:szCs w:val="22"/>
        </w:rPr>
        <w:t>e</w:t>
      </w:r>
      <w:r w:rsidR="00A03649" w:rsidRPr="00A54EF4">
        <w:rPr>
          <w:rFonts w:ascii="Bookman Old Style" w:hAnsi="Bookman Old Style"/>
          <w:b/>
          <w:bCs/>
          <w:sz w:val="22"/>
          <w:szCs w:val="22"/>
        </w:rPr>
        <w:t xml:space="preserve"> da un piano di formazione specialistica</w:t>
      </w:r>
      <w:r w:rsidR="00744A1C" w:rsidRPr="00A54EF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44A1C" w:rsidRPr="00A54EF4">
        <w:rPr>
          <w:rFonts w:ascii="Bookman Old Style" w:hAnsi="Bookman Old Style"/>
          <w:sz w:val="22"/>
          <w:szCs w:val="22"/>
        </w:rPr>
        <w:t xml:space="preserve">(art. 15, c. </w:t>
      </w:r>
      <w:r w:rsidR="00F04E25" w:rsidRPr="00A54EF4">
        <w:rPr>
          <w:rFonts w:ascii="Bookman Old Style" w:hAnsi="Bookman Old Style"/>
          <w:sz w:val="22"/>
          <w:szCs w:val="22"/>
        </w:rPr>
        <w:t>7</w:t>
      </w:r>
      <w:r w:rsidR="00744A1C" w:rsidRPr="00A54EF4">
        <w:rPr>
          <w:rFonts w:ascii="Bookman Old Style" w:hAnsi="Bookman Old Style"/>
          <w:sz w:val="22"/>
          <w:szCs w:val="22"/>
        </w:rPr>
        <w:t>)</w:t>
      </w:r>
      <w:r w:rsidR="00A54EF4">
        <w:rPr>
          <w:rFonts w:ascii="Bookman Old Style" w:hAnsi="Bookman Old Style"/>
          <w:sz w:val="22"/>
          <w:szCs w:val="22"/>
        </w:rPr>
        <w:t>, con un inutile appesantimento di oneri burocratici a car</w:t>
      </w:r>
      <w:r w:rsidR="000A0A7D">
        <w:rPr>
          <w:rFonts w:ascii="Bookman Old Style" w:hAnsi="Bookman Old Style"/>
          <w:sz w:val="22"/>
          <w:szCs w:val="22"/>
        </w:rPr>
        <w:t xml:space="preserve">ico di strumenti di programmazione completamente avulsi da quelli attinenti invece al personale; </w:t>
      </w:r>
      <w:r w:rsidR="00A54EF4">
        <w:rPr>
          <w:rFonts w:ascii="Bookman Old Style" w:hAnsi="Bookman Old Style"/>
          <w:sz w:val="22"/>
          <w:szCs w:val="22"/>
        </w:rPr>
        <w:t xml:space="preserve"> </w:t>
      </w:r>
    </w:p>
    <w:p w14:paraId="797035A6" w14:textId="11E7398A" w:rsidR="00BF38C5" w:rsidRPr="00EF7BA0" w:rsidRDefault="00220610" w:rsidP="00423BB9">
      <w:pPr>
        <w:pStyle w:val="Paragrafoelenco"/>
        <w:numPr>
          <w:ilvl w:val="0"/>
          <w:numId w:val="4"/>
        </w:numPr>
        <w:spacing w:after="0" w:line="312" w:lineRule="auto"/>
        <w:ind w:left="425" w:hanging="357"/>
        <w:jc w:val="both"/>
        <w:rPr>
          <w:rFonts w:ascii="Bookman Old Style" w:hAnsi="Bookman Old Style"/>
        </w:rPr>
      </w:pPr>
      <w:r w:rsidRPr="00EF7BA0">
        <w:rPr>
          <w:rFonts w:ascii="Bookman Old Style" w:hAnsi="Bookman Old Style"/>
          <w:b/>
          <w:bCs/>
        </w:rPr>
        <w:t>semplifica</w:t>
      </w:r>
      <w:r w:rsidR="00101619">
        <w:rPr>
          <w:rFonts w:ascii="Bookman Old Style" w:hAnsi="Bookman Old Style"/>
          <w:b/>
          <w:bCs/>
        </w:rPr>
        <w:t>re</w:t>
      </w:r>
      <w:r w:rsidRPr="00EF7BA0">
        <w:rPr>
          <w:rFonts w:ascii="Bookman Old Style" w:hAnsi="Bookman Old Style"/>
          <w:b/>
          <w:bCs/>
        </w:rPr>
        <w:t xml:space="preserve"> della fase di programmazione delle opere, servizi e forniture </w:t>
      </w:r>
      <w:r w:rsidR="003402B0" w:rsidRPr="00EF7BA0">
        <w:rPr>
          <w:rFonts w:ascii="Bookman Old Style" w:hAnsi="Bookman Old Style"/>
        </w:rPr>
        <w:t>la cui disciplina rimane sostanzialmente inalterata rispetto a quella vigente</w:t>
      </w:r>
      <w:r w:rsidR="00BF38C5" w:rsidRPr="00EF7BA0">
        <w:rPr>
          <w:rFonts w:ascii="Bookman Old Style" w:hAnsi="Bookman Old Style"/>
        </w:rPr>
        <w:t xml:space="preserve"> con la conseguenza di dover</w:t>
      </w:r>
      <w:r w:rsidR="00FB596D" w:rsidRPr="00EF7BA0">
        <w:rPr>
          <w:rFonts w:ascii="Bookman Old Style" w:hAnsi="Bookman Old Style"/>
        </w:rPr>
        <w:t>,</w:t>
      </w:r>
      <w:r w:rsidR="00BF38C5" w:rsidRPr="00EF7BA0">
        <w:rPr>
          <w:rFonts w:ascii="Bookman Old Style" w:hAnsi="Bookman Old Style"/>
        </w:rPr>
        <w:t xml:space="preserve"> a volte</w:t>
      </w:r>
      <w:r w:rsidR="00FB596D" w:rsidRPr="00EF7BA0">
        <w:rPr>
          <w:rFonts w:ascii="Bookman Old Style" w:hAnsi="Bookman Old Style"/>
        </w:rPr>
        <w:t xml:space="preserve">, </w:t>
      </w:r>
      <w:r w:rsidR="00BF38C5" w:rsidRPr="00EF7BA0">
        <w:rPr>
          <w:rFonts w:ascii="Bookman Old Style" w:hAnsi="Bookman Old Style"/>
        </w:rPr>
        <w:t xml:space="preserve">reiterare l’approvazione del programma </w:t>
      </w:r>
      <w:r w:rsidR="009A476E" w:rsidRPr="00EF7BA0">
        <w:rPr>
          <w:rFonts w:ascii="Bookman Old Style" w:hAnsi="Bookman Old Style"/>
        </w:rPr>
        <w:t xml:space="preserve">triennale delle opere pubbliche </w:t>
      </w:r>
      <w:r w:rsidR="00FB596D" w:rsidRPr="00EF7BA0">
        <w:rPr>
          <w:rFonts w:ascii="Bookman Old Style" w:hAnsi="Bookman Old Style"/>
        </w:rPr>
        <w:t xml:space="preserve">anche </w:t>
      </w:r>
      <w:r w:rsidR="00BF38C5" w:rsidRPr="00EF7BA0">
        <w:rPr>
          <w:rFonts w:ascii="Bookman Old Style" w:hAnsi="Bookman Old Style"/>
        </w:rPr>
        <w:t xml:space="preserve">solo </w:t>
      </w:r>
      <w:r w:rsidR="00FB596D" w:rsidRPr="00EF7BA0">
        <w:rPr>
          <w:rFonts w:ascii="Bookman Old Style" w:hAnsi="Bookman Old Style"/>
        </w:rPr>
        <w:t xml:space="preserve">ed esclusivamente </w:t>
      </w:r>
      <w:r w:rsidR="00BF38C5" w:rsidRPr="00EF7BA0">
        <w:rPr>
          <w:rFonts w:ascii="Bookman Old Style" w:hAnsi="Bookman Old Style"/>
        </w:rPr>
        <w:t>per modifiche progettuali di dettaglio</w:t>
      </w:r>
      <w:r w:rsidR="00032B6C" w:rsidRPr="00EF7BA0">
        <w:rPr>
          <w:rFonts w:ascii="Bookman Old Style" w:hAnsi="Bookman Old Style"/>
        </w:rPr>
        <w:t xml:space="preserve"> </w:t>
      </w:r>
      <w:r w:rsidR="00FB596D" w:rsidRPr="00EF7BA0">
        <w:rPr>
          <w:rFonts w:ascii="Bookman Old Style" w:hAnsi="Bookman Old Style"/>
        </w:rPr>
        <w:t xml:space="preserve">non incisive </w:t>
      </w:r>
      <w:r w:rsidR="00032B6C" w:rsidRPr="00EF7BA0">
        <w:rPr>
          <w:rFonts w:ascii="Bookman Old Style" w:hAnsi="Bookman Old Style"/>
        </w:rPr>
        <w:t>o</w:t>
      </w:r>
      <w:r w:rsidR="00FB596D" w:rsidRPr="00EF7BA0">
        <w:rPr>
          <w:rFonts w:ascii="Bookman Old Style" w:hAnsi="Bookman Old Style"/>
        </w:rPr>
        <w:t xml:space="preserve">vvero, altre volte addirittura di </w:t>
      </w:r>
      <w:r w:rsidR="00032B6C" w:rsidRPr="00EF7BA0">
        <w:rPr>
          <w:rFonts w:ascii="Bookman Old Style" w:hAnsi="Bookman Old Style"/>
        </w:rPr>
        <w:t xml:space="preserve">non poter procedere in assenza del DUP </w:t>
      </w:r>
      <w:r w:rsidR="00032B6C" w:rsidRPr="00C307EF">
        <w:rPr>
          <w:rFonts w:ascii="Bookman Old Style" w:hAnsi="Bookman Old Style"/>
        </w:rPr>
        <w:t>approvato</w:t>
      </w:r>
      <w:r w:rsidR="00BF38C5" w:rsidRPr="00C307EF">
        <w:rPr>
          <w:rFonts w:ascii="Bookman Old Style" w:hAnsi="Bookman Old Style"/>
        </w:rPr>
        <w:t xml:space="preserve"> </w:t>
      </w:r>
      <w:r w:rsidR="00AE43F2" w:rsidRPr="00C307EF">
        <w:rPr>
          <w:rFonts w:ascii="Bookman Old Style" w:hAnsi="Bookman Old Style"/>
        </w:rPr>
        <w:t xml:space="preserve">(art. </w:t>
      </w:r>
      <w:r w:rsidR="00BF75D8" w:rsidRPr="00C307EF">
        <w:rPr>
          <w:rFonts w:ascii="Bookman Old Style" w:hAnsi="Bookman Old Style"/>
        </w:rPr>
        <w:t>37</w:t>
      </w:r>
      <w:r w:rsidR="00AE43F2" w:rsidRPr="00C307EF">
        <w:rPr>
          <w:rFonts w:ascii="Bookman Old Style" w:hAnsi="Bookman Old Style"/>
        </w:rPr>
        <w:t>)</w:t>
      </w:r>
      <w:r w:rsidR="000A0A7D">
        <w:rPr>
          <w:rFonts w:ascii="Bookman Old Style" w:hAnsi="Bookman Old Style"/>
        </w:rPr>
        <w:t>;</w:t>
      </w:r>
    </w:p>
    <w:p w14:paraId="15386E14" w14:textId="6E97102A" w:rsidR="00BF38C5" w:rsidRPr="00D27C07" w:rsidRDefault="00FB596D" w:rsidP="00423BB9">
      <w:pPr>
        <w:pStyle w:val="Corpotesto"/>
        <w:numPr>
          <w:ilvl w:val="0"/>
          <w:numId w:val="4"/>
        </w:numPr>
        <w:spacing w:line="312" w:lineRule="auto"/>
        <w:ind w:left="425" w:right="113" w:hanging="357"/>
        <w:rPr>
          <w:rFonts w:ascii="Bookman Old Style" w:hAnsi="Bookman Old Style"/>
          <w:sz w:val="22"/>
          <w:szCs w:val="22"/>
        </w:rPr>
      </w:pPr>
      <w:r w:rsidRPr="00D27C07">
        <w:rPr>
          <w:rFonts w:ascii="Bookman Old Style" w:hAnsi="Bookman Old Style"/>
          <w:b/>
          <w:bCs/>
          <w:sz w:val="22"/>
          <w:szCs w:val="22"/>
        </w:rPr>
        <w:t>chiari</w:t>
      </w:r>
      <w:r w:rsidR="00844D58">
        <w:rPr>
          <w:rFonts w:ascii="Bookman Old Style" w:hAnsi="Bookman Old Style"/>
          <w:b/>
          <w:bCs/>
          <w:sz w:val="22"/>
          <w:szCs w:val="22"/>
        </w:rPr>
        <w:t>re</w:t>
      </w:r>
      <w:r w:rsidRPr="00D27C07">
        <w:rPr>
          <w:rFonts w:ascii="Bookman Old Style" w:hAnsi="Bookman Old Style"/>
          <w:b/>
          <w:bCs/>
          <w:sz w:val="22"/>
          <w:szCs w:val="22"/>
        </w:rPr>
        <w:t xml:space="preserve"> e</w:t>
      </w:r>
      <w:r w:rsidR="00BF38C5" w:rsidRPr="00D27C07">
        <w:rPr>
          <w:rFonts w:ascii="Bookman Old Style" w:hAnsi="Bookman Old Style"/>
          <w:b/>
          <w:bCs/>
          <w:sz w:val="22"/>
          <w:szCs w:val="22"/>
        </w:rPr>
        <w:t xml:space="preserve"> semp</w:t>
      </w:r>
      <w:r w:rsidR="003402B0" w:rsidRPr="00D27C07">
        <w:rPr>
          <w:rFonts w:ascii="Bookman Old Style" w:hAnsi="Bookman Old Style"/>
          <w:b/>
          <w:bCs/>
          <w:sz w:val="22"/>
          <w:szCs w:val="22"/>
        </w:rPr>
        <w:t>lifica</w:t>
      </w:r>
      <w:r w:rsidR="00844D58">
        <w:rPr>
          <w:rFonts w:ascii="Bookman Old Style" w:hAnsi="Bookman Old Style"/>
          <w:b/>
          <w:bCs/>
          <w:sz w:val="22"/>
          <w:szCs w:val="22"/>
        </w:rPr>
        <w:t xml:space="preserve">re </w:t>
      </w:r>
      <w:r w:rsidR="003402B0" w:rsidRPr="00D27C07">
        <w:rPr>
          <w:rFonts w:ascii="Bookman Old Style" w:hAnsi="Bookman Old Style"/>
          <w:b/>
          <w:bCs/>
          <w:sz w:val="22"/>
          <w:szCs w:val="22"/>
        </w:rPr>
        <w:t xml:space="preserve">le cause di esclusione </w:t>
      </w:r>
      <w:r w:rsidR="00D27C07">
        <w:rPr>
          <w:rFonts w:ascii="Bookman Old Style" w:hAnsi="Bookman Old Style"/>
          <w:b/>
          <w:bCs/>
          <w:sz w:val="22"/>
          <w:szCs w:val="22"/>
        </w:rPr>
        <w:t xml:space="preserve">non automatica </w:t>
      </w:r>
      <w:r w:rsidRPr="00D27C07">
        <w:rPr>
          <w:rFonts w:ascii="Bookman Old Style" w:hAnsi="Bookman Old Style"/>
          <w:sz w:val="22"/>
          <w:szCs w:val="22"/>
        </w:rPr>
        <w:t xml:space="preserve">che sembrano porre </w:t>
      </w:r>
      <w:r w:rsidR="001B6E90" w:rsidRPr="00D27C07">
        <w:rPr>
          <w:rFonts w:ascii="Bookman Old Style" w:hAnsi="Bookman Old Style"/>
          <w:sz w:val="22"/>
          <w:szCs w:val="22"/>
        </w:rPr>
        <w:t xml:space="preserve">in capo </w:t>
      </w:r>
      <w:r w:rsidRPr="00D27C07">
        <w:rPr>
          <w:rFonts w:ascii="Bookman Old Style" w:hAnsi="Bookman Old Style"/>
          <w:sz w:val="22"/>
          <w:szCs w:val="22"/>
        </w:rPr>
        <w:t xml:space="preserve">alle stazioni appaltanti </w:t>
      </w:r>
      <w:r w:rsidR="003402B0" w:rsidRPr="00D27C07">
        <w:rPr>
          <w:rFonts w:ascii="Bookman Old Style" w:hAnsi="Bookman Old Style"/>
          <w:sz w:val="22"/>
          <w:szCs w:val="22"/>
        </w:rPr>
        <w:t xml:space="preserve">l’onere burocratico di procedere ad un vero e proprio </w:t>
      </w:r>
      <w:r w:rsidR="00EE7580" w:rsidRPr="00D27C07">
        <w:rPr>
          <w:rFonts w:ascii="Bookman Old Style" w:hAnsi="Bookman Old Style"/>
          <w:sz w:val="22"/>
          <w:szCs w:val="22"/>
        </w:rPr>
        <w:t>“</w:t>
      </w:r>
      <w:r w:rsidR="003402B0" w:rsidRPr="00D27C07">
        <w:rPr>
          <w:rFonts w:ascii="Bookman Old Style" w:hAnsi="Bookman Old Style"/>
          <w:sz w:val="22"/>
          <w:szCs w:val="22"/>
        </w:rPr>
        <w:t>processo indiziario</w:t>
      </w:r>
      <w:r w:rsidR="00EE7580" w:rsidRPr="00D27C07">
        <w:rPr>
          <w:rFonts w:ascii="Bookman Old Style" w:hAnsi="Bookman Old Style"/>
          <w:sz w:val="22"/>
          <w:szCs w:val="22"/>
        </w:rPr>
        <w:t>”</w:t>
      </w:r>
      <w:r w:rsidR="003402B0" w:rsidRPr="00D27C07">
        <w:rPr>
          <w:rFonts w:ascii="Bookman Old Style" w:hAnsi="Bookman Old Style"/>
          <w:sz w:val="22"/>
          <w:szCs w:val="22"/>
        </w:rPr>
        <w:t xml:space="preserve"> </w:t>
      </w:r>
      <w:r w:rsidR="00D27C07" w:rsidRPr="00D27C07">
        <w:rPr>
          <w:rFonts w:ascii="Bookman Old Style" w:hAnsi="Bookman Old Style"/>
          <w:sz w:val="22"/>
          <w:szCs w:val="22"/>
        </w:rPr>
        <w:t xml:space="preserve">nonché foriere di possibili contenziosi </w:t>
      </w:r>
      <w:r w:rsidR="00C42AB6" w:rsidRPr="00D27C07">
        <w:rPr>
          <w:rFonts w:ascii="Bookman Old Style" w:hAnsi="Bookman Old Style"/>
          <w:sz w:val="22"/>
          <w:szCs w:val="22"/>
        </w:rPr>
        <w:t>(</w:t>
      </w:r>
      <w:r w:rsidR="0036578F" w:rsidRPr="00D27C07">
        <w:rPr>
          <w:rFonts w:ascii="Bookman Old Style" w:hAnsi="Bookman Old Style"/>
          <w:sz w:val="22"/>
          <w:szCs w:val="22"/>
        </w:rPr>
        <w:t xml:space="preserve">art. </w:t>
      </w:r>
      <w:r w:rsidR="00470468" w:rsidRPr="00D27C07">
        <w:rPr>
          <w:rFonts w:ascii="Bookman Old Style" w:hAnsi="Bookman Old Style"/>
          <w:sz w:val="22"/>
          <w:szCs w:val="22"/>
        </w:rPr>
        <w:t>95</w:t>
      </w:r>
      <w:r w:rsidR="00A957C2" w:rsidRPr="00D27C07">
        <w:rPr>
          <w:rFonts w:ascii="Bookman Old Style" w:hAnsi="Bookman Old Style"/>
          <w:sz w:val="22"/>
          <w:szCs w:val="22"/>
        </w:rPr>
        <w:t>)</w:t>
      </w:r>
      <w:r w:rsidR="000A0A7D">
        <w:rPr>
          <w:rFonts w:ascii="Bookman Old Style" w:hAnsi="Bookman Old Style"/>
          <w:sz w:val="22"/>
          <w:szCs w:val="22"/>
        </w:rPr>
        <w:t>;</w:t>
      </w:r>
    </w:p>
    <w:p w14:paraId="5F1BB4FB" w14:textId="4016810A" w:rsidR="006019A3" w:rsidRPr="00EF7BA0" w:rsidRDefault="00FB596D" w:rsidP="00423BB9">
      <w:pPr>
        <w:pStyle w:val="Corpotesto"/>
        <w:numPr>
          <w:ilvl w:val="0"/>
          <w:numId w:val="4"/>
        </w:numPr>
        <w:spacing w:line="312" w:lineRule="auto"/>
        <w:ind w:left="426" w:right="113"/>
        <w:rPr>
          <w:rFonts w:ascii="Bookman Old Style" w:hAnsi="Bookman Old Style"/>
          <w:sz w:val="22"/>
          <w:szCs w:val="22"/>
        </w:rPr>
      </w:pPr>
      <w:r w:rsidRPr="00EF7BA0">
        <w:rPr>
          <w:rFonts w:ascii="Bookman Old Style" w:hAnsi="Bookman Old Style"/>
          <w:b/>
          <w:bCs/>
          <w:sz w:val="22"/>
          <w:szCs w:val="22"/>
        </w:rPr>
        <w:t>necessità di</w:t>
      </w:r>
      <w:r w:rsidR="00B80BFE" w:rsidRPr="00EF7BA0">
        <w:rPr>
          <w:rFonts w:ascii="Bookman Old Style" w:hAnsi="Bookman Old Style"/>
          <w:b/>
          <w:bCs/>
          <w:sz w:val="22"/>
          <w:szCs w:val="22"/>
        </w:rPr>
        <w:t xml:space="preserve"> semplifica</w:t>
      </w:r>
      <w:r w:rsidR="00844D58">
        <w:rPr>
          <w:rFonts w:ascii="Bookman Old Style" w:hAnsi="Bookman Old Style"/>
          <w:b/>
          <w:bCs/>
          <w:sz w:val="22"/>
          <w:szCs w:val="22"/>
        </w:rPr>
        <w:t xml:space="preserve">re </w:t>
      </w:r>
      <w:r w:rsidR="00332595" w:rsidRPr="00EF7BA0">
        <w:rPr>
          <w:rFonts w:ascii="Bookman Old Style" w:hAnsi="Bookman Old Style"/>
          <w:b/>
          <w:bCs/>
          <w:sz w:val="22"/>
          <w:szCs w:val="22"/>
        </w:rPr>
        <w:t xml:space="preserve">alcuni elementi </w:t>
      </w:r>
      <w:r w:rsidR="00B80BFE" w:rsidRPr="00EF7BA0">
        <w:rPr>
          <w:rFonts w:ascii="Bookman Old Style" w:hAnsi="Bookman Old Style"/>
          <w:b/>
          <w:bCs/>
          <w:sz w:val="22"/>
          <w:szCs w:val="22"/>
        </w:rPr>
        <w:t xml:space="preserve">del </w:t>
      </w:r>
      <w:r w:rsidR="00045A42" w:rsidRPr="00EF7BA0">
        <w:rPr>
          <w:rFonts w:ascii="Bookman Old Style" w:hAnsi="Bookman Old Style"/>
          <w:b/>
          <w:bCs/>
          <w:sz w:val="22"/>
          <w:szCs w:val="22"/>
        </w:rPr>
        <w:t>sistema</w:t>
      </w:r>
      <w:r w:rsidR="00B80BFE" w:rsidRPr="00EF7BA0">
        <w:rPr>
          <w:rFonts w:ascii="Bookman Old Style" w:hAnsi="Bookman Old Style"/>
          <w:b/>
          <w:bCs/>
          <w:sz w:val="22"/>
          <w:szCs w:val="22"/>
        </w:rPr>
        <w:t xml:space="preserve"> di qualificazione delle stazioni appaltanti</w:t>
      </w:r>
      <w:r w:rsidR="00C307EF">
        <w:rPr>
          <w:rFonts w:ascii="Bookman Old Style" w:hAnsi="Bookman Old Style"/>
          <w:b/>
          <w:bCs/>
          <w:sz w:val="22"/>
          <w:szCs w:val="22"/>
        </w:rPr>
        <w:t>,</w:t>
      </w:r>
      <w:r w:rsidR="00A80161" w:rsidRPr="00EF7B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90C6F" w:rsidRPr="00EF7BA0">
        <w:rPr>
          <w:rFonts w:ascii="Bookman Old Style" w:hAnsi="Bookman Old Style"/>
          <w:sz w:val="22"/>
          <w:szCs w:val="22"/>
        </w:rPr>
        <w:t xml:space="preserve">prevedendo la qualificazione </w:t>
      </w:r>
      <w:r w:rsidR="00101619">
        <w:rPr>
          <w:rFonts w:ascii="Bookman Old Style" w:hAnsi="Bookman Old Style"/>
          <w:sz w:val="22"/>
          <w:szCs w:val="22"/>
        </w:rPr>
        <w:t>“</w:t>
      </w:r>
      <w:r w:rsidR="00C90C6F" w:rsidRPr="00EF7BA0">
        <w:rPr>
          <w:rFonts w:ascii="Bookman Old Style" w:hAnsi="Bookman Old Style"/>
          <w:sz w:val="22"/>
          <w:szCs w:val="22"/>
        </w:rPr>
        <w:t>di diritto</w:t>
      </w:r>
      <w:r w:rsidR="00101619">
        <w:rPr>
          <w:rFonts w:ascii="Bookman Old Style" w:hAnsi="Bookman Old Style"/>
          <w:sz w:val="22"/>
          <w:szCs w:val="22"/>
        </w:rPr>
        <w:t>”</w:t>
      </w:r>
      <w:r w:rsidR="00C90C6F" w:rsidRPr="00EF7BA0">
        <w:rPr>
          <w:rFonts w:ascii="Bookman Old Style" w:hAnsi="Bookman Old Style"/>
          <w:sz w:val="22"/>
          <w:szCs w:val="22"/>
        </w:rPr>
        <w:t xml:space="preserve"> delle Città metropolitane e </w:t>
      </w:r>
      <w:r w:rsidR="009921FA" w:rsidRPr="00EF7BA0">
        <w:rPr>
          <w:rFonts w:ascii="Bookman Old Style" w:hAnsi="Bookman Old Style"/>
          <w:sz w:val="22"/>
          <w:szCs w:val="22"/>
        </w:rPr>
        <w:t>dei Comuni capoluogo</w:t>
      </w:r>
      <w:r w:rsidR="00844D58">
        <w:rPr>
          <w:rFonts w:ascii="Bookman Old Style" w:hAnsi="Bookman Old Style"/>
          <w:sz w:val="22"/>
          <w:szCs w:val="22"/>
        </w:rPr>
        <w:t xml:space="preserve"> </w:t>
      </w:r>
      <w:r w:rsidR="00B13633" w:rsidRPr="00EF7BA0">
        <w:rPr>
          <w:rFonts w:ascii="Bookman Old Style" w:hAnsi="Bookman Old Style"/>
          <w:sz w:val="22"/>
          <w:szCs w:val="22"/>
        </w:rPr>
        <w:t xml:space="preserve">nonché </w:t>
      </w:r>
      <w:r w:rsidR="00A80161" w:rsidRPr="00EF7BA0">
        <w:rPr>
          <w:rFonts w:ascii="Bookman Old Style" w:hAnsi="Bookman Old Style"/>
          <w:sz w:val="22"/>
          <w:szCs w:val="22"/>
        </w:rPr>
        <w:t xml:space="preserve">ulteriori </w:t>
      </w:r>
      <w:r w:rsidR="00844D58">
        <w:rPr>
          <w:rFonts w:ascii="Bookman Old Style" w:hAnsi="Bookman Old Style"/>
          <w:sz w:val="22"/>
          <w:szCs w:val="22"/>
        </w:rPr>
        <w:t xml:space="preserve">e specifiche </w:t>
      </w:r>
      <w:r w:rsidR="00A80161" w:rsidRPr="00EF7BA0">
        <w:rPr>
          <w:rFonts w:ascii="Bookman Old Style" w:hAnsi="Bookman Old Style"/>
          <w:sz w:val="22"/>
          <w:szCs w:val="22"/>
        </w:rPr>
        <w:t xml:space="preserve">modifiche </w:t>
      </w:r>
      <w:r w:rsidR="00A80161" w:rsidRPr="00101619">
        <w:rPr>
          <w:rFonts w:ascii="Bookman Old Style" w:hAnsi="Bookman Old Style"/>
          <w:sz w:val="22"/>
          <w:szCs w:val="22"/>
          <w:u w:val="single"/>
        </w:rPr>
        <w:t xml:space="preserve">come indicate </w:t>
      </w:r>
      <w:r w:rsidR="003268F7">
        <w:rPr>
          <w:rFonts w:ascii="Bookman Old Style" w:hAnsi="Bookman Old Style"/>
          <w:sz w:val="22"/>
          <w:szCs w:val="22"/>
          <w:u w:val="single"/>
        </w:rPr>
        <w:t>al punto 3 del</w:t>
      </w:r>
      <w:r w:rsidR="00A80161" w:rsidRPr="00101619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101619">
        <w:rPr>
          <w:rFonts w:ascii="Bookman Old Style" w:hAnsi="Bookman Old Style"/>
          <w:sz w:val="22"/>
          <w:szCs w:val="22"/>
          <w:u w:val="single"/>
        </w:rPr>
        <w:t xml:space="preserve">presente </w:t>
      </w:r>
      <w:r w:rsidR="00A80161" w:rsidRPr="00101619">
        <w:rPr>
          <w:rFonts w:ascii="Bookman Old Style" w:hAnsi="Bookman Old Style"/>
          <w:sz w:val="22"/>
          <w:szCs w:val="22"/>
          <w:u w:val="single"/>
        </w:rPr>
        <w:t>documento</w:t>
      </w:r>
      <w:r w:rsidR="00C307EF">
        <w:rPr>
          <w:rFonts w:ascii="Bookman Old Style" w:hAnsi="Bookman Old Style"/>
          <w:sz w:val="22"/>
          <w:szCs w:val="22"/>
        </w:rPr>
        <w:t xml:space="preserve"> </w:t>
      </w:r>
      <w:r w:rsidR="00C307EF" w:rsidRPr="00EF7BA0">
        <w:rPr>
          <w:rFonts w:ascii="Bookman Old Style" w:hAnsi="Bookman Old Style"/>
          <w:sz w:val="22"/>
          <w:szCs w:val="22"/>
        </w:rPr>
        <w:t>(artt. 62, 63 e allegato II.4)</w:t>
      </w:r>
    </w:p>
    <w:p w14:paraId="08586501" w14:textId="44114757" w:rsidR="00064D3E" w:rsidRPr="00EF7BA0" w:rsidRDefault="00064D3E" w:rsidP="00423BB9">
      <w:pPr>
        <w:pStyle w:val="Corpotesto"/>
        <w:numPr>
          <w:ilvl w:val="0"/>
          <w:numId w:val="4"/>
        </w:numPr>
        <w:spacing w:line="312" w:lineRule="auto"/>
        <w:ind w:left="426" w:right="113"/>
        <w:rPr>
          <w:rFonts w:ascii="Bookman Old Style" w:hAnsi="Bookman Old Style"/>
          <w:sz w:val="22"/>
          <w:szCs w:val="22"/>
        </w:rPr>
      </w:pPr>
      <w:r w:rsidRPr="00EF7BA0">
        <w:rPr>
          <w:rFonts w:ascii="Bookman Old Style" w:hAnsi="Bookman Old Style"/>
          <w:b/>
          <w:bCs/>
          <w:sz w:val="22"/>
          <w:szCs w:val="22"/>
        </w:rPr>
        <w:t xml:space="preserve">modificare la </w:t>
      </w:r>
      <w:r w:rsidR="004005AE" w:rsidRPr="00EF7BA0">
        <w:rPr>
          <w:rFonts w:ascii="Bookman Old Style" w:hAnsi="Bookman Old Style"/>
          <w:b/>
          <w:bCs/>
          <w:sz w:val="22"/>
          <w:szCs w:val="22"/>
        </w:rPr>
        <w:t>procedura per la revis</w:t>
      </w:r>
      <w:r w:rsidR="00F96E52" w:rsidRPr="00EF7BA0">
        <w:rPr>
          <w:rFonts w:ascii="Bookman Old Style" w:hAnsi="Bookman Old Style"/>
          <w:b/>
          <w:bCs/>
          <w:sz w:val="22"/>
          <w:szCs w:val="22"/>
        </w:rPr>
        <w:t>io</w:t>
      </w:r>
      <w:r w:rsidR="004005AE" w:rsidRPr="00EF7BA0">
        <w:rPr>
          <w:rFonts w:ascii="Bookman Old Style" w:hAnsi="Bookman Old Style"/>
          <w:b/>
          <w:bCs/>
          <w:sz w:val="22"/>
          <w:szCs w:val="22"/>
        </w:rPr>
        <w:t xml:space="preserve">ne dei prezzi </w:t>
      </w:r>
      <w:r w:rsidR="004005AE" w:rsidRPr="00EF7BA0">
        <w:rPr>
          <w:rFonts w:ascii="Bookman Old Style" w:hAnsi="Bookman Old Style"/>
          <w:sz w:val="22"/>
          <w:szCs w:val="22"/>
        </w:rPr>
        <w:t>in quanto rimanda</w:t>
      </w:r>
      <w:r w:rsidR="00F96E52" w:rsidRPr="00EF7BA0">
        <w:rPr>
          <w:rFonts w:ascii="Bookman Old Style" w:hAnsi="Bookman Old Style"/>
          <w:sz w:val="22"/>
          <w:szCs w:val="22"/>
        </w:rPr>
        <w:t xml:space="preserve"> </w:t>
      </w:r>
      <w:r w:rsidR="00422999">
        <w:rPr>
          <w:rFonts w:ascii="Bookman Old Style" w:hAnsi="Bookman Old Style"/>
          <w:sz w:val="22"/>
          <w:szCs w:val="22"/>
        </w:rPr>
        <w:t>ad</w:t>
      </w:r>
      <w:r w:rsidR="00F96E52" w:rsidRPr="00EF7BA0">
        <w:rPr>
          <w:rFonts w:ascii="Bookman Old Style" w:hAnsi="Bookman Old Style"/>
          <w:sz w:val="22"/>
          <w:szCs w:val="22"/>
        </w:rPr>
        <w:t xml:space="preserve"> indici ISTAT </w:t>
      </w:r>
      <w:r w:rsidR="00A52160">
        <w:rPr>
          <w:rFonts w:ascii="Bookman Old Style" w:hAnsi="Bookman Old Style"/>
          <w:sz w:val="22"/>
          <w:szCs w:val="22"/>
        </w:rPr>
        <w:t>da approvare annualmente</w:t>
      </w:r>
      <w:r w:rsidR="00D27C07">
        <w:rPr>
          <w:rFonts w:ascii="Bookman Old Style" w:hAnsi="Bookman Old Style"/>
          <w:sz w:val="22"/>
          <w:szCs w:val="22"/>
        </w:rPr>
        <w:t>,</w:t>
      </w:r>
      <w:r w:rsidR="00A52160">
        <w:rPr>
          <w:rFonts w:ascii="Bookman Old Style" w:hAnsi="Bookman Old Style"/>
          <w:sz w:val="22"/>
          <w:szCs w:val="22"/>
        </w:rPr>
        <w:t xml:space="preserve"> al 30 settembre</w:t>
      </w:r>
      <w:r w:rsidR="00D27C07">
        <w:rPr>
          <w:rFonts w:ascii="Bookman Old Style" w:hAnsi="Bookman Old Style"/>
          <w:sz w:val="22"/>
          <w:szCs w:val="22"/>
        </w:rPr>
        <w:t>,</w:t>
      </w:r>
      <w:r w:rsidR="00A52160">
        <w:rPr>
          <w:rFonts w:ascii="Bookman Old Style" w:hAnsi="Bookman Old Style"/>
          <w:sz w:val="22"/>
          <w:szCs w:val="22"/>
        </w:rPr>
        <w:t xml:space="preserve"> ma d’intesa con il</w:t>
      </w:r>
      <w:r w:rsidR="00F96E52" w:rsidRPr="00EF7BA0">
        <w:rPr>
          <w:rFonts w:ascii="Bookman Old Style" w:hAnsi="Bookman Old Style"/>
          <w:sz w:val="22"/>
          <w:szCs w:val="22"/>
        </w:rPr>
        <w:t xml:space="preserve"> M</w:t>
      </w:r>
      <w:r w:rsidR="002D1AC8" w:rsidRPr="00EF7BA0">
        <w:rPr>
          <w:rFonts w:ascii="Bookman Old Style" w:hAnsi="Bookman Old Style"/>
          <w:sz w:val="22"/>
          <w:szCs w:val="22"/>
        </w:rPr>
        <w:t>inistero dell</w:t>
      </w:r>
      <w:r w:rsidR="00B76F3D" w:rsidRPr="00EF7BA0">
        <w:rPr>
          <w:rFonts w:ascii="Bookman Old Style" w:hAnsi="Bookman Old Style"/>
          <w:sz w:val="22"/>
          <w:szCs w:val="22"/>
        </w:rPr>
        <w:t>e</w:t>
      </w:r>
      <w:r w:rsidR="002D1AC8" w:rsidRPr="00EF7BA0">
        <w:rPr>
          <w:rFonts w:ascii="Bookman Old Style" w:hAnsi="Bookman Old Style"/>
          <w:sz w:val="22"/>
          <w:szCs w:val="22"/>
        </w:rPr>
        <w:t xml:space="preserve"> Infrastrutture e dei Trasporti</w:t>
      </w:r>
      <w:r w:rsidR="00A52160">
        <w:rPr>
          <w:rFonts w:ascii="Bookman Old Style" w:hAnsi="Bookman Old Style"/>
          <w:sz w:val="22"/>
          <w:szCs w:val="22"/>
        </w:rPr>
        <w:t xml:space="preserve">. Ciò </w:t>
      </w:r>
      <w:r w:rsidR="00D27C07">
        <w:rPr>
          <w:rFonts w:ascii="Bookman Old Style" w:hAnsi="Bookman Old Style"/>
          <w:sz w:val="22"/>
          <w:szCs w:val="22"/>
        </w:rPr>
        <w:t xml:space="preserve">non appare in linea con la necessità di un intervento tempestivo sul caro prezzi e </w:t>
      </w:r>
      <w:r w:rsidR="004E1BAC" w:rsidRPr="00EF7BA0">
        <w:rPr>
          <w:rFonts w:ascii="Bookman Old Style" w:hAnsi="Bookman Old Style"/>
          <w:sz w:val="22"/>
          <w:szCs w:val="22"/>
        </w:rPr>
        <w:t>porterà</w:t>
      </w:r>
      <w:r w:rsidR="00D27C07">
        <w:rPr>
          <w:rFonts w:ascii="Bookman Old Style" w:hAnsi="Bookman Old Style"/>
          <w:sz w:val="22"/>
          <w:szCs w:val="22"/>
        </w:rPr>
        <w:t>,</w:t>
      </w:r>
      <w:r w:rsidR="004E1BAC" w:rsidRPr="00EF7BA0">
        <w:rPr>
          <w:rFonts w:ascii="Bookman Old Style" w:hAnsi="Bookman Old Style"/>
          <w:sz w:val="22"/>
          <w:szCs w:val="22"/>
        </w:rPr>
        <w:t xml:space="preserve"> </w:t>
      </w:r>
      <w:r w:rsidR="00A52160">
        <w:rPr>
          <w:rFonts w:ascii="Bookman Old Style" w:hAnsi="Bookman Old Style"/>
          <w:sz w:val="22"/>
          <w:szCs w:val="22"/>
        </w:rPr>
        <w:t>inevitabilmente</w:t>
      </w:r>
      <w:r w:rsidR="00D27C07">
        <w:rPr>
          <w:rFonts w:ascii="Bookman Old Style" w:hAnsi="Bookman Old Style"/>
          <w:sz w:val="22"/>
          <w:szCs w:val="22"/>
        </w:rPr>
        <w:t>,</w:t>
      </w:r>
      <w:r w:rsidR="00A52160">
        <w:rPr>
          <w:rFonts w:ascii="Bookman Old Style" w:hAnsi="Bookman Old Style"/>
          <w:sz w:val="22"/>
          <w:szCs w:val="22"/>
        </w:rPr>
        <w:t xml:space="preserve"> </w:t>
      </w:r>
      <w:r w:rsidR="004E1BAC" w:rsidRPr="00EF7BA0">
        <w:rPr>
          <w:rFonts w:ascii="Bookman Old Style" w:hAnsi="Bookman Old Style"/>
          <w:sz w:val="22"/>
          <w:szCs w:val="22"/>
        </w:rPr>
        <w:t xml:space="preserve">ad un ritardo </w:t>
      </w:r>
      <w:r w:rsidR="00936103" w:rsidRPr="00EF7BA0">
        <w:rPr>
          <w:rFonts w:ascii="Bookman Old Style" w:hAnsi="Bookman Old Style"/>
          <w:sz w:val="22"/>
          <w:szCs w:val="22"/>
        </w:rPr>
        <w:t xml:space="preserve">procedurale per </w:t>
      </w:r>
      <w:r w:rsidR="00936103" w:rsidRPr="00EF7BA0">
        <w:rPr>
          <w:rFonts w:ascii="Bookman Old Style" w:hAnsi="Bookman Old Style"/>
          <w:sz w:val="22"/>
          <w:szCs w:val="22"/>
        </w:rPr>
        <w:lastRenderedPageBreak/>
        <w:t xml:space="preserve">coprire i maggiori oneri ovvero </w:t>
      </w:r>
      <w:r w:rsidR="006C0439">
        <w:rPr>
          <w:rFonts w:ascii="Bookman Old Style" w:hAnsi="Bookman Old Style"/>
          <w:sz w:val="22"/>
          <w:szCs w:val="22"/>
        </w:rPr>
        <w:t xml:space="preserve">per </w:t>
      </w:r>
      <w:r w:rsidR="00936103" w:rsidRPr="00EF7BA0">
        <w:rPr>
          <w:rFonts w:ascii="Bookman Old Style" w:hAnsi="Bookman Old Style"/>
          <w:sz w:val="22"/>
          <w:szCs w:val="22"/>
        </w:rPr>
        <w:t xml:space="preserve">usufruire di </w:t>
      </w:r>
      <w:r w:rsidR="006C0439">
        <w:rPr>
          <w:rFonts w:ascii="Bookman Old Style" w:hAnsi="Bookman Old Style"/>
          <w:sz w:val="22"/>
          <w:szCs w:val="22"/>
        </w:rPr>
        <w:t xml:space="preserve">eventuali </w:t>
      </w:r>
      <w:r w:rsidR="00936103" w:rsidRPr="00EF7BA0">
        <w:rPr>
          <w:rFonts w:ascii="Bookman Old Style" w:hAnsi="Bookman Old Style"/>
          <w:sz w:val="22"/>
          <w:szCs w:val="22"/>
        </w:rPr>
        <w:t>maggiori risparmi</w:t>
      </w:r>
      <w:r w:rsidR="00A52160">
        <w:rPr>
          <w:rFonts w:ascii="Bookman Old Style" w:hAnsi="Bookman Old Style"/>
          <w:sz w:val="22"/>
          <w:szCs w:val="22"/>
        </w:rPr>
        <w:t xml:space="preserve">, in analogia con </w:t>
      </w:r>
      <w:r w:rsidR="0019165C">
        <w:rPr>
          <w:rFonts w:ascii="Bookman Old Style" w:hAnsi="Bookman Old Style"/>
          <w:sz w:val="22"/>
          <w:szCs w:val="22"/>
        </w:rPr>
        <w:t>quanto sta accadendo oggi</w:t>
      </w:r>
      <w:r w:rsidR="006C0439" w:rsidRPr="006C0439">
        <w:rPr>
          <w:rFonts w:ascii="Bookman Old Style" w:hAnsi="Bookman Old Style"/>
          <w:sz w:val="22"/>
          <w:szCs w:val="22"/>
        </w:rPr>
        <w:t xml:space="preserve"> </w:t>
      </w:r>
      <w:r w:rsidR="006C0439" w:rsidRPr="00EF7BA0">
        <w:rPr>
          <w:rFonts w:ascii="Bookman Old Style" w:hAnsi="Bookman Old Style"/>
          <w:sz w:val="22"/>
          <w:szCs w:val="22"/>
        </w:rPr>
        <w:t>(art. 60)</w:t>
      </w:r>
    </w:p>
    <w:p w14:paraId="234857BA" w14:textId="6AAFE8BD" w:rsidR="00552252" w:rsidRPr="00EF7BA0" w:rsidRDefault="00D47AEE" w:rsidP="00423BB9">
      <w:pPr>
        <w:pStyle w:val="Corpotesto"/>
        <w:numPr>
          <w:ilvl w:val="0"/>
          <w:numId w:val="4"/>
        </w:numPr>
        <w:spacing w:line="312" w:lineRule="auto"/>
        <w:ind w:left="426" w:right="113"/>
        <w:rPr>
          <w:rFonts w:ascii="Bookman Old Style" w:hAnsi="Bookman Old Style"/>
          <w:sz w:val="22"/>
          <w:szCs w:val="22"/>
        </w:rPr>
      </w:pPr>
      <w:r w:rsidRPr="00EF7BA0">
        <w:rPr>
          <w:rFonts w:ascii="Bookman Old Style" w:hAnsi="Bookman Old Style"/>
          <w:b/>
          <w:bCs/>
          <w:sz w:val="22"/>
          <w:szCs w:val="22"/>
        </w:rPr>
        <w:t xml:space="preserve">chiarire, in relazione alla realizzazione di opere a scomputo </w:t>
      </w:r>
      <w:r w:rsidRPr="0019165C">
        <w:rPr>
          <w:rFonts w:ascii="Bookman Old Style" w:hAnsi="Bookman Old Style"/>
          <w:sz w:val="22"/>
          <w:szCs w:val="22"/>
        </w:rPr>
        <w:t>(art. 1</w:t>
      </w:r>
      <w:r w:rsidR="00936103" w:rsidRPr="0019165C">
        <w:rPr>
          <w:rFonts w:ascii="Bookman Old Style" w:hAnsi="Bookman Old Style"/>
          <w:sz w:val="22"/>
          <w:szCs w:val="22"/>
        </w:rPr>
        <w:t>3</w:t>
      </w:r>
      <w:r w:rsidR="008E3DE2" w:rsidRPr="0019165C">
        <w:rPr>
          <w:rFonts w:ascii="Bookman Old Style" w:hAnsi="Bookman Old Style"/>
          <w:sz w:val="22"/>
          <w:szCs w:val="22"/>
        </w:rPr>
        <w:t xml:space="preserve"> e </w:t>
      </w:r>
      <w:proofErr w:type="spellStart"/>
      <w:r w:rsidR="008E3DE2" w:rsidRPr="0019165C">
        <w:rPr>
          <w:rFonts w:ascii="Bookman Old Style" w:hAnsi="Bookman Old Style"/>
          <w:sz w:val="22"/>
          <w:szCs w:val="22"/>
        </w:rPr>
        <w:t>all</w:t>
      </w:r>
      <w:proofErr w:type="spellEnd"/>
      <w:r w:rsidR="008E3DE2" w:rsidRPr="0019165C">
        <w:rPr>
          <w:rFonts w:ascii="Bookman Old Style" w:hAnsi="Bookman Old Style"/>
          <w:sz w:val="22"/>
          <w:szCs w:val="22"/>
        </w:rPr>
        <w:t>. I</w:t>
      </w:r>
      <w:r w:rsidR="00223B12" w:rsidRPr="0019165C">
        <w:rPr>
          <w:rFonts w:ascii="Bookman Old Style" w:hAnsi="Bookman Old Style"/>
          <w:sz w:val="22"/>
          <w:szCs w:val="22"/>
        </w:rPr>
        <w:t>.</w:t>
      </w:r>
      <w:r w:rsidR="00936103" w:rsidRPr="0019165C">
        <w:rPr>
          <w:rFonts w:ascii="Bookman Old Style" w:hAnsi="Bookman Old Style"/>
          <w:sz w:val="22"/>
          <w:szCs w:val="22"/>
        </w:rPr>
        <w:t>12</w:t>
      </w:r>
      <w:r w:rsidR="00223B12" w:rsidRPr="0019165C">
        <w:rPr>
          <w:rFonts w:ascii="Bookman Old Style" w:hAnsi="Bookman Old Style"/>
          <w:sz w:val="22"/>
          <w:szCs w:val="22"/>
        </w:rPr>
        <w:t xml:space="preserve"> comma 6)</w:t>
      </w:r>
      <w:r w:rsidRPr="00EF7BA0">
        <w:rPr>
          <w:rFonts w:ascii="Bookman Old Style" w:hAnsi="Bookman Old Style"/>
          <w:sz w:val="22"/>
          <w:szCs w:val="22"/>
        </w:rPr>
        <w:t xml:space="preserve"> che il privato </w:t>
      </w:r>
      <w:r w:rsidR="00606D5D" w:rsidRPr="00EF7BA0">
        <w:rPr>
          <w:rFonts w:ascii="Bookman Old Style" w:hAnsi="Bookman Old Style"/>
          <w:sz w:val="22"/>
          <w:szCs w:val="22"/>
        </w:rPr>
        <w:t>può intervenire operando esso stesso da SA, con esclusione in deroga, dal sistema di qualificazione. Ciò nel testo attuale non è previsto</w:t>
      </w:r>
      <w:r w:rsidR="00C27C8B" w:rsidRPr="00EF7BA0">
        <w:rPr>
          <w:rFonts w:ascii="Bookman Old Style" w:hAnsi="Bookman Old Style"/>
          <w:sz w:val="22"/>
          <w:szCs w:val="22"/>
        </w:rPr>
        <w:t>,</w:t>
      </w:r>
      <w:r w:rsidR="00606D5D" w:rsidRPr="00EF7BA0">
        <w:rPr>
          <w:rFonts w:ascii="Bookman Old Style" w:hAnsi="Bookman Old Style"/>
          <w:sz w:val="22"/>
          <w:szCs w:val="22"/>
        </w:rPr>
        <w:t xml:space="preserve"> pertanto </w:t>
      </w:r>
      <w:r w:rsidR="00566426" w:rsidRPr="00EF7BA0">
        <w:rPr>
          <w:rFonts w:ascii="Bookman Old Style" w:hAnsi="Bookman Old Style"/>
          <w:sz w:val="22"/>
          <w:szCs w:val="22"/>
        </w:rPr>
        <w:t>l’opera potrebbe essere realizzata solo dall’amministrazione e non dal privato</w:t>
      </w:r>
      <w:r w:rsidR="00223B12" w:rsidRPr="00EF7BA0">
        <w:rPr>
          <w:rFonts w:ascii="Bookman Old Style" w:hAnsi="Bookman Old Style"/>
          <w:sz w:val="22"/>
          <w:szCs w:val="22"/>
        </w:rPr>
        <w:t xml:space="preserve">, come invece </w:t>
      </w:r>
      <w:r w:rsidR="00E362E4">
        <w:rPr>
          <w:rFonts w:ascii="Bookman Old Style" w:hAnsi="Bookman Old Style"/>
          <w:sz w:val="22"/>
          <w:szCs w:val="22"/>
        </w:rPr>
        <w:t xml:space="preserve">approvato </w:t>
      </w:r>
      <w:r w:rsidR="00223B12" w:rsidRPr="00EF7BA0">
        <w:rPr>
          <w:rFonts w:ascii="Bookman Old Style" w:hAnsi="Bookman Old Style"/>
          <w:sz w:val="22"/>
          <w:szCs w:val="22"/>
        </w:rPr>
        <w:t xml:space="preserve">da prassi </w:t>
      </w:r>
      <w:r w:rsidR="00E362E4">
        <w:rPr>
          <w:rFonts w:ascii="Bookman Old Style" w:hAnsi="Bookman Old Style"/>
          <w:sz w:val="22"/>
          <w:szCs w:val="22"/>
        </w:rPr>
        <w:t xml:space="preserve">ormai </w:t>
      </w:r>
      <w:r w:rsidR="00223B12" w:rsidRPr="00EF7BA0">
        <w:rPr>
          <w:rFonts w:ascii="Bookman Old Style" w:hAnsi="Bookman Old Style"/>
          <w:sz w:val="22"/>
          <w:szCs w:val="22"/>
        </w:rPr>
        <w:t>consolidata avallata anche in ambito europeo e nazionale (</w:t>
      </w:r>
      <w:r w:rsidR="004E4068" w:rsidRPr="00EF7BA0">
        <w:rPr>
          <w:rFonts w:ascii="Bookman Old Style" w:hAnsi="Bookman Old Style"/>
          <w:sz w:val="22"/>
          <w:szCs w:val="22"/>
        </w:rPr>
        <w:t>determinazione AVCP del 6/7/2009)</w:t>
      </w:r>
    </w:p>
    <w:p w14:paraId="70756F07" w14:textId="67526D10" w:rsidR="00F5598B" w:rsidRPr="00065CE5" w:rsidRDefault="007175E1" w:rsidP="00423BB9">
      <w:pPr>
        <w:pStyle w:val="Corpotesto"/>
        <w:numPr>
          <w:ilvl w:val="0"/>
          <w:numId w:val="4"/>
        </w:numPr>
        <w:spacing w:line="312" w:lineRule="auto"/>
        <w:ind w:left="426" w:right="113"/>
        <w:rPr>
          <w:rFonts w:ascii="Bookman Old Style" w:hAnsi="Bookman Old Style"/>
          <w:sz w:val="22"/>
          <w:szCs w:val="22"/>
        </w:rPr>
      </w:pPr>
      <w:r w:rsidRPr="00065CE5">
        <w:rPr>
          <w:rFonts w:ascii="Bookman Old Style" w:hAnsi="Bookman Old Style"/>
          <w:sz w:val="22"/>
          <w:szCs w:val="22"/>
        </w:rPr>
        <w:t xml:space="preserve">modificare alcune </w:t>
      </w:r>
      <w:r w:rsidR="004D0BDE" w:rsidRPr="00065CE5">
        <w:rPr>
          <w:rFonts w:ascii="Bookman Old Style" w:hAnsi="Bookman Old Style"/>
          <w:sz w:val="22"/>
          <w:szCs w:val="22"/>
        </w:rPr>
        <w:t>norme relative</w:t>
      </w:r>
      <w:r w:rsidR="004D0BDE" w:rsidRPr="00065CE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D0BDE" w:rsidRPr="00065CE5">
        <w:rPr>
          <w:rFonts w:ascii="Bookman Old Style" w:hAnsi="Bookman Old Style"/>
          <w:sz w:val="22"/>
          <w:szCs w:val="22"/>
        </w:rPr>
        <w:t>al</w:t>
      </w:r>
      <w:r w:rsidR="004D0BDE" w:rsidRPr="00065CE5">
        <w:rPr>
          <w:rFonts w:ascii="Bookman Old Style" w:hAnsi="Bookman Old Style"/>
          <w:b/>
          <w:bCs/>
          <w:sz w:val="22"/>
          <w:szCs w:val="22"/>
        </w:rPr>
        <w:t xml:space="preserve"> Partenariato sociale</w:t>
      </w:r>
      <w:r w:rsidR="007006CA" w:rsidRPr="00065CE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065CE5">
        <w:rPr>
          <w:rFonts w:ascii="Bookman Old Style" w:hAnsi="Bookman Old Style"/>
          <w:sz w:val="22"/>
          <w:szCs w:val="22"/>
        </w:rPr>
        <w:t>per se</w:t>
      </w:r>
      <w:r w:rsidR="001019B4" w:rsidRPr="00065CE5">
        <w:rPr>
          <w:rFonts w:ascii="Bookman Old Style" w:hAnsi="Bookman Old Style"/>
          <w:sz w:val="22"/>
          <w:szCs w:val="22"/>
        </w:rPr>
        <w:t>mplificar</w:t>
      </w:r>
      <w:r w:rsidR="0058646A" w:rsidRPr="00065CE5">
        <w:rPr>
          <w:rFonts w:ascii="Bookman Old Style" w:hAnsi="Bookman Old Style"/>
          <w:sz w:val="22"/>
          <w:szCs w:val="22"/>
        </w:rPr>
        <w:t>n</w:t>
      </w:r>
      <w:r w:rsidR="001019B4" w:rsidRPr="00065CE5">
        <w:rPr>
          <w:rFonts w:ascii="Bookman Old Style" w:hAnsi="Bookman Old Style"/>
          <w:sz w:val="22"/>
          <w:szCs w:val="22"/>
        </w:rPr>
        <w:t xml:space="preserve">e la procedura </w:t>
      </w:r>
      <w:r w:rsidR="0058646A" w:rsidRPr="00065CE5">
        <w:rPr>
          <w:rFonts w:ascii="Bookman Old Style" w:hAnsi="Bookman Old Style"/>
          <w:sz w:val="22"/>
          <w:szCs w:val="22"/>
        </w:rPr>
        <w:t xml:space="preserve">di </w:t>
      </w:r>
      <w:r w:rsidR="001019B4" w:rsidRPr="00065CE5">
        <w:rPr>
          <w:rFonts w:ascii="Bookman Old Style" w:hAnsi="Bookman Old Style"/>
          <w:sz w:val="22"/>
          <w:szCs w:val="22"/>
        </w:rPr>
        <w:t xml:space="preserve">attivazione del partenariato </w:t>
      </w:r>
      <w:r w:rsidR="00C03F99">
        <w:rPr>
          <w:rFonts w:ascii="Bookman Old Style" w:hAnsi="Bookman Old Style"/>
          <w:sz w:val="22"/>
          <w:szCs w:val="22"/>
        </w:rPr>
        <w:t xml:space="preserve">sociale stesso ed </w:t>
      </w:r>
      <w:r w:rsidR="002E2BBD" w:rsidRPr="00065CE5">
        <w:rPr>
          <w:rFonts w:ascii="Bookman Old Style" w:hAnsi="Bookman Old Style"/>
          <w:sz w:val="22"/>
          <w:szCs w:val="22"/>
        </w:rPr>
        <w:t>agevolare</w:t>
      </w:r>
      <w:r w:rsidR="00374900" w:rsidRPr="00065CE5">
        <w:rPr>
          <w:rFonts w:ascii="Bookman Old Style" w:hAnsi="Bookman Old Style"/>
          <w:sz w:val="22"/>
          <w:szCs w:val="22"/>
        </w:rPr>
        <w:t xml:space="preserve"> la sussidiarietà orizzontale</w:t>
      </w:r>
      <w:r w:rsidR="00C03F99">
        <w:rPr>
          <w:rFonts w:ascii="Bookman Old Style" w:hAnsi="Bookman Old Style"/>
          <w:sz w:val="22"/>
          <w:szCs w:val="22"/>
        </w:rPr>
        <w:t xml:space="preserve"> in favore del</w:t>
      </w:r>
      <w:r w:rsidR="00CD2168" w:rsidRPr="00065CE5">
        <w:rPr>
          <w:rFonts w:ascii="Bookman Old Style" w:hAnsi="Bookman Old Style"/>
          <w:sz w:val="22"/>
          <w:szCs w:val="22"/>
        </w:rPr>
        <w:t>la partnership pubblico privata</w:t>
      </w:r>
      <w:r w:rsidR="00CD2168" w:rsidRPr="00065CE5">
        <w:rPr>
          <w:rFonts w:ascii="Open Sans" w:hAnsi="Open Sans" w:cs="Open Sans"/>
          <w:color w:val="000000"/>
          <w:sz w:val="30"/>
          <w:szCs w:val="30"/>
          <w:shd w:val="clear" w:color="auto" w:fill="FFFFFF"/>
        </w:rPr>
        <w:t xml:space="preserve"> </w:t>
      </w:r>
      <w:r w:rsidR="00CD2168" w:rsidRPr="00065CE5">
        <w:rPr>
          <w:rFonts w:ascii="Bookman Old Style" w:hAnsi="Bookman Old Style"/>
          <w:sz w:val="22"/>
          <w:szCs w:val="22"/>
        </w:rPr>
        <w:t>a finalità sociale</w:t>
      </w:r>
      <w:r w:rsidR="001019B4" w:rsidRPr="00065CE5">
        <w:rPr>
          <w:rFonts w:ascii="Bookman Old Style" w:hAnsi="Bookman Old Style"/>
          <w:sz w:val="22"/>
          <w:szCs w:val="22"/>
          <w:highlight w:val="yellow"/>
        </w:rPr>
        <w:t xml:space="preserve">  </w:t>
      </w:r>
    </w:p>
    <w:p w14:paraId="23111C44" w14:textId="77777777" w:rsidR="003268F7" w:rsidRDefault="003268F7" w:rsidP="00423BB9">
      <w:pPr>
        <w:pStyle w:val="Corpotesto"/>
        <w:spacing w:line="312" w:lineRule="auto"/>
        <w:ind w:right="112"/>
        <w:rPr>
          <w:rFonts w:ascii="Bookman Old Style" w:hAnsi="Bookman Old Style"/>
          <w:sz w:val="22"/>
          <w:szCs w:val="22"/>
        </w:rPr>
      </w:pPr>
    </w:p>
    <w:p w14:paraId="3BAAB1B4" w14:textId="39A9FD56" w:rsidR="003268F7" w:rsidRPr="003268F7" w:rsidRDefault="000A0A7D" w:rsidP="003268F7">
      <w:pPr>
        <w:pStyle w:val="Corpotesto"/>
        <w:numPr>
          <w:ilvl w:val="0"/>
          <w:numId w:val="6"/>
        </w:numPr>
        <w:spacing w:line="312" w:lineRule="auto"/>
        <w:ind w:right="112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Valutazione </w:t>
      </w:r>
      <w:r w:rsidR="003268F7" w:rsidRPr="003268F7">
        <w:rPr>
          <w:rFonts w:ascii="Bookman Old Style" w:hAnsi="Bookman Old Style"/>
          <w:b/>
          <w:bCs/>
          <w:i/>
          <w:iCs/>
          <w:sz w:val="22"/>
          <w:szCs w:val="22"/>
        </w:rPr>
        <w:t>sul sistema di qualificazione</w:t>
      </w:r>
      <w:r w:rsidR="00395162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delle Stazioni Appaltanti</w:t>
      </w:r>
    </w:p>
    <w:p w14:paraId="46A7F52B" w14:textId="77777777" w:rsidR="003268F7" w:rsidRDefault="003268F7" w:rsidP="00423BB9">
      <w:pPr>
        <w:pStyle w:val="Corpotesto"/>
        <w:spacing w:line="312" w:lineRule="auto"/>
        <w:ind w:right="112"/>
        <w:rPr>
          <w:rFonts w:ascii="Bookman Old Style" w:hAnsi="Bookman Old Style"/>
          <w:sz w:val="22"/>
          <w:szCs w:val="22"/>
        </w:rPr>
      </w:pPr>
    </w:p>
    <w:p w14:paraId="7F29A7A1" w14:textId="33F132CD" w:rsidR="007175E1" w:rsidRPr="00EF7BA0" w:rsidRDefault="007175E1" w:rsidP="00423BB9">
      <w:pPr>
        <w:pStyle w:val="Corpotesto"/>
        <w:spacing w:line="312" w:lineRule="auto"/>
        <w:ind w:right="112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F7BA0">
        <w:rPr>
          <w:rFonts w:ascii="Bookman Old Style" w:hAnsi="Bookman Old Style"/>
          <w:sz w:val="22"/>
          <w:szCs w:val="22"/>
        </w:rPr>
        <w:t xml:space="preserve">Un approfondimento specifico meritano </w:t>
      </w:r>
      <w:r w:rsidRPr="00EF7BA0">
        <w:rPr>
          <w:rFonts w:ascii="Bookman Old Style" w:hAnsi="Bookman Old Style"/>
          <w:b/>
          <w:bCs/>
          <w:sz w:val="22"/>
          <w:szCs w:val="22"/>
          <w:u w:val="single"/>
        </w:rPr>
        <w:t xml:space="preserve">le </w:t>
      </w:r>
      <w:r w:rsidR="00B97A56" w:rsidRPr="00EF7BA0">
        <w:rPr>
          <w:rFonts w:ascii="Bookman Old Style" w:hAnsi="Bookman Old Style"/>
          <w:b/>
          <w:bCs/>
          <w:sz w:val="22"/>
          <w:szCs w:val="22"/>
          <w:u w:val="single"/>
        </w:rPr>
        <w:t xml:space="preserve">proposte </w:t>
      </w:r>
      <w:r w:rsidR="005B0D8A">
        <w:rPr>
          <w:rFonts w:ascii="Bookman Old Style" w:hAnsi="Bookman Old Style"/>
          <w:b/>
          <w:bCs/>
          <w:sz w:val="22"/>
          <w:szCs w:val="22"/>
          <w:u w:val="single"/>
        </w:rPr>
        <w:t xml:space="preserve">ANCI </w:t>
      </w:r>
      <w:r w:rsidR="00B97A56" w:rsidRPr="00EF7BA0">
        <w:rPr>
          <w:rFonts w:ascii="Bookman Old Style" w:hAnsi="Bookman Old Style"/>
          <w:b/>
          <w:bCs/>
          <w:sz w:val="22"/>
          <w:szCs w:val="22"/>
          <w:u w:val="single"/>
        </w:rPr>
        <w:t>inerenti il</w:t>
      </w:r>
      <w:r w:rsidRPr="00EF7BA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Pr="005B0D8A">
        <w:rPr>
          <w:rFonts w:ascii="Bookman Old Style" w:hAnsi="Bookman Old Style"/>
          <w:b/>
          <w:bCs/>
          <w:sz w:val="22"/>
          <w:szCs w:val="22"/>
          <w:u w:val="single"/>
        </w:rPr>
        <w:t>sistema della</w:t>
      </w:r>
      <w:r w:rsidR="00BC64E6" w:rsidRPr="005B0D8A">
        <w:rPr>
          <w:rFonts w:ascii="Bookman Old Style" w:hAnsi="Bookman Old Style"/>
          <w:b/>
          <w:bCs/>
          <w:sz w:val="22"/>
          <w:szCs w:val="22"/>
          <w:u w:val="single"/>
        </w:rPr>
        <w:t xml:space="preserve"> qualificazione delle Stazioni appalti</w:t>
      </w:r>
      <w:r w:rsidR="005B0D8A" w:rsidRPr="005B0D8A">
        <w:rPr>
          <w:rFonts w:ascii="Bookman Old Style" w:hAnsi="Bookman Old Style"/>
          <w:b/>
          <w:bCs/>
          <w:sz w:val="22"/>
          <w:szCs w:val="22"/>
          <w:u w:val="single"/>
        </w:rPr>
        <w:t xml:space="preserve"> e delle Centrali di Committenza</w:t>
      </w:r>
      <w:r w:rsidR="00427D16" w:rsidRPr="005B0D8A">
        <w:rPr>
          <w:rFonts w:ascii="Bookman Old Style" w:hAnsi="Bookman Old Style"/>
          <w:b/>
          <w:bCs/>
          <w:sz w:val="22"/>
          <w:szCs w:val="22"/>
          <w:u w:val="single"/>
        </w:rPr>
        <w:t>,</w:t>
      </w:r>
      <w:r w:rsidR="00427D16" w:rsidRPr="00EF7BA0">
        <w:rPr>
          <w:rFonts w:ascii="Bookman Old Style" w:hAnsi="Bookman Old Style"/>
          <w:b/>
          <w:bCs/>
          <w:sz w:val="22"/>
          <w:szCs w:val="22"/>
          <w:u w:val="single"/>
        </w:rPr>
        <w:t xml:space="preserve"> punto essenziale per </w:t>
      </w:r>
      <w:r w:rsidR="003268F7">
        <w:rPr>
          <w:rFonts w:ascii="Bookman Old Style" w:hAnsi="Bookman Old Style"/>
          <w:b/>
          <w:bCs/>
          <w:sz w:val="22"/>
          <w:szCs w:val="22"/>
          <w:u w:val="single"/>
        </w:rPr>
        <w:t xml:space="preserve">i </w:t>
      </w:r>
      <w:r w:rsidR="00427D16" w:rsidRPr="00EF7BA0">
        <w:rPr>
          <w:rFonts w:ascii="Bookman Old Style" w:hAnsi="Bookman Old Style"/>
          <w:b/>
          <w:bCs/>
          <w:sz w:val="22"/>
          <w:szCs w:val="22"/>
          <w:u w:val="single"/>
        </w:rPr>
        <w:t>Comuni</w:t>
      </w:r>
      <w:r w:rsidRPr="00EF7BA0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 w14:paraId="5C4C2962" w14:textId="4DD0854E" w:rsidR="006F3EBE" w:rsidRPr="00EF7BA0" w:rsidRDefault="004E0A6E" w:rsidP="00423BB9">
      <w:pPr>
        <w:pStyle w:val="Corpotesto"/>
        <w:spacing w:line="312" w:lineRule="auto"/>
        <w:ind w:right="11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 tale tematica, l</w:t>
      </w:r>
      <w:r w:rsidR="00B97A56" w:rsidRPr="00EF7BA0">
        <w:rPr>
          <w:rFonts w:ascii="Bookman Old Style" w:hAnsi="Bookman Old Style"/>
          <w:sz w:val="22"/>
          <w:szCs w:val="22"/>
        </w:rPr>
        <w:t xml:space="preserve">’Associazione </w:t>
      </w:r>
      <w:r w:rsidR="00D57594" w:rsidRPr="00EF7BA0">
        <w:rPr>
          <w:rFonts w:ascii="Bookman Old Style" w:hAnsi="Bookman Old Style"/>
          <w:sz w:val="22"/>
          <w:szCs w:val="22"/>
        </w:rPr>
        <w:t>ribadi</w:t>
      </w:r>
      <w:r w:rsidR="00B97A56" w:rsidRPr="00EF7BA0">
        <w:rPr>
          <w:rFonts w:ascii="Bookman Old Style" w:hAnsi="Bookman Old Style"/>
          <w:sz w:val="22"/>
          <w:szCs w:val="22"/>
        </w:rPr>
        <w:t>sce</w:t>
      </w:r>
      <w:r w:rsidR="00D57594" w:rsidRPr="00EF7BA0">
        <w:rPr>
          <w:rFonts w:ascii="Bookman Old Style" w:hAnsi="Bookman Old Style"/>
          <w:sz w:val="22"/>
          <w:szCs w:val="22"/>
        </w:rPr>
        <w:t xml:space="preserve"> e condivid</w:t>
      </w:r>
      <w:r w:rsidR="00B97A56" w:rsidRPr="00EF7BA0">
        <w:rPr>
          <w:rFonts w:ascii="Bookman Old Style" w:hAnsi="Bookman Old Style"/>
          <w:sz w:val="22"/>
          <w:szCs w:val="22"/>
        </w:rPr>
        <w:t>e</w:t>
      </w:r>
      <w:r w:rsidR="00D57594" w:rsidRPr="00EF7BA0">
        <w:rPr>
          <w:rFonts w:ascii="Bookman Old Style" w:hAnsi="Bookman Old Style"/>
          <w:sz w:val="22"/>
          <w:szCs w:val="22"/>
        </w:rPr>
        <w:t xml:space="preserve"> la necessità di attivare </w:t>
      </w:r>
      <w:r w:rsidR="00300689" w:rsidRPr="00EF7BA0">
        <w:rPr>
          <w:rFonts w:ascii="Bookman Old Style" w:hAnsi="Bookman Old Style"/>
          <w:sz w:val="22"/>
          <w:szCs w:val="22"/>
        </w:rPr>
        <w:t xml:space="preserve">la </w:t>
      </w:r>
      <w:r w:rsidR="0002546A" w:rsidRPr="00EF7BA0">
        <w:rPr>
          <w:rFonts w:ascii="Bookman Old Style" w:hAnsi="Bookman Old Style"/>
          <w:sz w:val="22"/>
          <w:szCs w:val="22"/>
        </w:rPr>
        <w:t>“</w:t>
      </w:r>
      <w:r w:rsidR="00300689" w:rsidRPr="00EF7BA0">
        <w:rPr>
          <w:rFonts w:ascii="Bookman Old Style" w:hAnsi="Bookman Old Style"/>
          <w:sz w:val="22"/>
          <w:szCs w:val="22"/>
        </w:rPr>
        <w:t>professionalizzazione</w:t>
      </w:r>
      <w:r w:rsidR="0002546A" w:rsidRPr="00EF7BA0">
        <w:rPr>
          <w:rFonts w:ascii="Bookman Old Style" w:hAnsi="Bookman Old Style"/>
          <w:sz w:val="22"/>
          <w:szCs w:val="22"/>
        </w:rPr>
        <w:t>”</w:t>
      </w:r>
      <w:r w:rsidR="00300689" w:rsidRPr="00EF7BA0">
        <w:rPr>
          <w:rFonts w:ascii="Bookman Old Style" w:hAnsi="Bookman Old Style"/>
          <w:sz w:val="22"/>
          <w:szCs w:val="22"/>
        </w:rPr>
        <w:t xml:space="preserve"> delle stazioni appaltanti come richiesto dall’UE</w:t>
      </w:r>
      <w:r w:rsidR="005E13BE" w:rsidRPr="00EF7BA0">
        <w:rPr>
          <w:rFonts w:ascii="Bookman Old Style" w:hAnsi="Bookman Old Style"/>
          <w:sz w:val="22"/>
          <w:szCs w:val="22"/>
        </w:rPr>
        <w:t>,</w:t>
      </w:r>
      <w:r w:rsidR="004437EF" w:rsidRPr="00EF7BA0">
        <w:rPr>
          <w:rFonts w:ascii="Bookman Old Style" w:hAnsi="Bookman Old Style"/>
          <w:sz w:val="22"/>
          <w:szCs w:val="22"/>
        </w:rPr>
        <w:t xml:space="preserve"> </w:t>
      </w:r>
      <w:r w:rsidR="004437EF" w:rsidRPr="00EF7BA0">
        <w:rPr>
          <w:rFonts w:ascii="Bookman Old Style" w:hAnsi="Bookman Old Style"/>
          <w:sz w:val="22"/>
          <w:szCs w:val="22"/>
          <w:u w:val="single"/>
        </w:rPr>
        <w:t xml:space="preserve">ma riteniamo necessarie alcune modifiche che consentano l’operatività del sistema di qualificazione evitando potenziali rischi </w:t>
      </w:r>
      <w:r w:rsidR="006F3EBE" w:rsidRPr="00EF7BA0">
        <w:rPr>
          <w:rFonts w:ascii="Bookman Old Style" w:hAnsi="Bookman Old Style"/>
          <w:sz w:val="22"/>
          <w:szCs w:val="22"/>
          <w:u w:val="single"/>
        </w:rPr>
        <w:t>rispetto alla realizzazione delle opere</w:t>
      </w:r>
      <w:r w:rsidR="0061397D">
        <w:rPr>
          <w:rFonts w:ascii="Bookman Old Style" w:hAnsi="Bookman Old Style"/>
          <w:sz w:val="22"/>
          <w:szCs w:val="22"/>
          <w:u w:val="single"/>
        </w:rPr>
        <w:t xml:space="preserve"> pubbliche</w:t>
      </w:r>
      <w:r w:rsidR="006F3EBE" w:rsidRPr="00EF7BA0">
        <w:rPr>
          <w:rFonts w:ascii="Bookman Old Style" w:hAnsi="Bookman Old Style"/>
          <w:sz w:val="22"/>
          <w:szCs w:val="22"/>
        </w:rPr>
        <w:t>.</w:t>
      </w:r>
    </w:p>
    <w:p w14:paraId="27010CD9" w14:textId="70C88D31" w:rsidR="00300689" w:rsidRDefault="00471C3C" w:rsidP="00423BB9">
      <w:pPr>
        <w:pStyle w:val="Corpotesto"/>
        <w:spacing w:line="312" w:lineRule="auto"/>
        <w:ind w:right="112"/>
        <w:rPr>
          <w:rFonts w:ascii="Bookman Old Style" w:hAnsi="Bookman Old Style"/>
          <w:sz w:val="22"/>
          <w:szCs w:val="22"/>
        </w:rPr>
      </w:pPr>
      <w:r w:rsidRPr="00DB4877">
        <w:rPr>
          <w:rFonts w:ascii="Bookman Old Style" w:hAnsi="Bookman Old Style"/>
          <w:sz w:val="22"/>
          <w:szCs w:val="22"/>
        </w:rPr>
        <w:t>A tal proposito,</w:t>
      </w:r>
      <w:r w:rsidR="001B6E90" w:rsidRPr="00DB4877">
        <w:rPr>
          <w:rFonts w:ascii="Bookman Old Style" w:hAnsi="Bookman Old Style"/>
          <w:sz w:val="22"/>
          <w:szCs w:val="22"/>
        </w:rPr>
        <w:t xml:space="preserve"> si evidenzia che </w:t>
      </w:r>
      <w:r w:rsidRPr="00DB4877">
        <w:rPr>
          <w:rFonts w:ascii="Bookman Old Style" w:hAnsi="Bookman Old Style"/>
          <w:sz w:val="22"/>
          <w:szCs w:val="22"/>
        </w:rPr>
        <w:t>g</w:t>
      </w:r>
      <w:r w:rsidR="0076205E" w:rsidRPr="00DB4877">
        <w:rPr>
          <w:rFonts w:ascii="Bookman Old Style" w:hAnsi="Bookman Old Style"/>
          <w:sz w:val="22"/>
          <w:szCs w:val="22"/>
        </w:rPr>
        <w:t>li articol</w:t>
      </w:r>
      <w:r w:rsidR="001B6E90" w:rsidRPr="00DB4877">
        <w:rPr>
          <w:rFonts w:ascii="Bookman Old Style" w:hAnsi="Bookman Old Style"/>
          <w:sz w:val="22"/>
          <w:szCs w:val="22"/>
        </w:rPr>
        <w:t>i</w:t>
      </w:r>
      <w:r w:rsidR="0076205E" w:rsidRPr="00DB4877">
        <w:rPr>
          <w:rFonts w:ascii="Bookman Old Style" w:hAnsi="Bookman Old Style"/>
          <w:sz w:val="22"/>
          <w:szCs w:val="22"/>
        </w:rPr>
        <w:t xml:space="preserve"> 62 e 63 </w:t>
      </w:r>
      <w:r w:rsidRPr="00DB4877">
        <w:rPr>
          <w:rFonts w:ascii="Bookman Old Style" w:hAnsi="Bookman Old Style"/>
          <w:sz w:val="22"/>
          <w:szCs w:val="22"/>
        </w:rPr>
        <w:t xml:space="preserve">dello schema </w:t>
      </w:r>
      <w:r w:rsidR="0076205E" w:rsidRPr="00DB4877">
        <w:rPr>
          <w:rFonts w:ascii="Bookman Old Style" w:hAnsi="Bookman Old Style"/>
          <w:sz w:val="22"/>
          <w:szCs w:val="22"/>
        </w:rPr>
        <w:t>di decreto legislativo</w:t>
      </w:r>
      <w:r w:rsidR="001B6E90" w:rsidRPr="00DB4877">
        <w:rPr>
          <w:rFonts w:ascii="Bookman Old Style" w:hAnsi="Bookman Old Style"/>
          <w:sz w:val="22"/>
          <w:szCs w:val="22"/>
        </w:rPr>
        <w:t>,</w:t>
      </w:r>
      <w:r w:rsidR="001B6E90" w:rsidRPr="00EF7BA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B6E90" w:rsidRPr="003B655E">
        <w:rPr>
          <w:rFonts w:ascii="Bookman Old Style" w:hAnsi="Bookman Old Style"/>
          <w:sz w:val="22"/>
          <w:szCs w:val="22"/>
        </w:rPr>
        <w:t xml:space="preserve">sulla </w:t>
      </w:r>
      <w:r w:rsidR="003B655E" w:rsidRPr="003B655E">
        <w:rPr>
          <w:rFonts w:ascii="Bookman Old Style" w:hAnsi="Bookman Old Style"/>
          <w:sz w:val="22"/>
          <w:szCs w:val="22"/>
        </w:rPr>
        <w:t>tema della</w:t>
      </w:r>
      <w:r w:rsidR="003B655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B6E90" w:rsidRPr="00EF7BA0">
        <w:rPr>
          <w:rFonts w:ascii="Bookman Old Style" w:hAnsi="Bookman Old Style"/>
          <w:b/>
          <w:bCs/>
          <w:sz w:val="22"/>
          <w:szCs w:val="22"/>
        </w:rPr>
        <w:t xml:space="preserve">qualificazione </w:t>
      </w:r>
      <w:r w:rsidR="001B6E90" w:rsidRPr="00EF7BA0">
        <w:rPr>
          <w:rFonts w:ascii="Bookman Old Style" w:hAnsi="Bookman Old Style"/>
          <w:sz w:val="22"/>
          <w:szCs w:val="22"/>
        </w:rPr>
        <w:t>riprendono le recenti linee guida ANAC sulla qualificazione</w:t>
      </w:r>
      <w:r w:rsidR="00F01629" w:rsidRPr="00EF7BA0">
        <w:rPr>
          <w:rFonts w:ascii="Bookman Old Style" w:hAnsi="Bookman Old Style"/>
          <w:sz w:val="22"/>
          <w:szCs w:val="22"/>
        </w:rPr>
        <w:t xml:space="preserve">, </w:t>
      </w:r>
      <w:r w:rsidR="00550460">
        <w:rPr>
          <w:rFonts w:ascii="Bookman Old Style" w:hAnsi="Bookman Old Style"/>
          <w:sz w:val="22"/>
          <w:szCs w:val="22"/>
        </w:rPr>
        <w:t xml:space="preserve">confermando la previsione </w:t>
      </w:r>
      <w:r w:rsidR="00D25180">
        <w:rPr>
          <w:rFonts w:ascii="Bookman Old Style" w:hAnsi="Bookman Old Style"/>
          <w:sz w:val="22"/>
          <w:szCs w:val="22"/>
        </w:rPr>
        <w:t xml:space="preserve">che </w:t>
      </w:r>
      <w:r w:rsidR="00D25180" w:rsidRPr="00EF7BA0">
        <w:rPr>
          <w:rFonts w:ascii="Bookman Old Style" w:hAnsi="Bookman Old Style"/>
          <w:b/>
          <w:bCs/>
          <w:sz w:val="22"/>
          <w:szCs w:val="22"/>
        </w:rPr>
        <w:t>tutti i Comuni, sia Capoluogo che Piccoli, debbano qualificarsi per progettare, affidare ed eseguire appalti</w:t>
      </w:r>
      <w:r w:rsidR="009E718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E7181" w:rsidRPr="009E7181">
        <w:rPr>
          <w:rFonts w:ascii="Bookman Old Style" w:hAnsi="Bookman Old Style"/>
          <w:sz w:val="22"/>
          <w:szCs w:val="22"/>
        </w:rPr>
        <w:t>con differenti soglie per lavori e servizi/forniture</w:t>
      </w:r>
      <w:r w:rsidR="0076205E" w:rsidRPr="00EF7BA0">
        <w:rPr>
          <w:rFonts w:ascii="Bookman Old Style" w:hAnsi="Bookman Old Style"/>
          <w:sz w:val="22"/>
          <w:szCs w:val="22"/>
        </w:rPr>
        <w:t xml:space="preserve">.  </w:t>
      </w:r>
    </w:p>
    <w:p w14:paraId="58DD8936" w14:textId="77777777" w:rsidR="00FB334C" w:rsidRPr="00EF7BA0" w:rsidRDefault="00FB334C" w:rsidP="00423BB9">
      <w:pPr>
        <w:pStyle w:val="Corpotesto"/>
        <w:spacing w:line="312" w:lineRule="auto"/>
        <w:ind w:right="112"/>
        <w:rPr>
          <w:rFonts w:ascii="Bookman Old Style" w:hAnsi="Bookman Old Style"/>
          <w:sz w:val="22"/>
          <w:szCs w:val="22"/>
        </w:rPr>
      </w:pPr>
    </w:p>
    <w:p w14:paraId="4603FBE2" w14:textId="24D8416A" w:rsidR="005E13BE" w:rsidRPr="00EF7BA0" w:rsidRDefault="009E7181" w:rsidP="00423BB9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/>
          <w:u w:val="single"/>
        </w:rPr>
      </w:pPr>
      <w:r w:rsidRPr="00FB334C">
        <w:rPr>
          <w:rFonts w:ascii="Bookman Old Style" w:hAnsi="Bookman Old Style"/>
        </w:rPr>
        <w:t xml:space="preserve">Tale </w:t>
      </w:r>
      <w:r w:rsidRPr="00FB334C">
        <w:rPr>
          <w:rFonts w:ascii="Bookman Old Style" w:hAnsi="Bookman Old Style"/>
          <w:b/>
          <w:bCs/>
        </w:rPr>
        <w:t xml:space="preserve">sistema di </w:t>
      </w:r>
      <w:r w:rsidR="006019A3" w:rsidRPr="00FB334C">
        <w:rPr>
          <w:rFonts w:ascii="Bookman Old Style" w:hAnsi="Bookman Old Style"/>
          <w:b/>
          <w:bCs/>
        </w:rPr>
        <w:t>qualificazione</w:t>
      </w:r>
      <w:r w:rsidRPr="00FB334C">
        <w:rPr>
          <w:rFonts w:ascii="Bookman Old Style" w:hAnsi="Bookman Old Style"/>
          <w:b/>
          <w:bCs/>
        </w:rPr>
        <w:t xml:space="preserve"> va modificato</w:t>
      </w:r>
      <w:r w:rsidR="006019A3" w:rsidRPr="00FB334C">
        <w:rPr>
          <w:rFonts w:ascii="Bookman Old Style" w:hAnsi="Bookman Old Style"/>
        </w:rPr>
        <w:t xml:space="preserve">, </w:t>
      </w:r>
      <w:r w:rsidR="00FB334C" w:rsidRPr="00FB334C">
        <w:rPr>
          <w:rFonts w:ascii="Bookman Old Style" w:hAnsi="Bookman Old Style"/>
        </w:rPr>
        <w:t>anche e soprattutto per l’esigenza di</w:t>
      </w:r>
      <w:r w:rsidR="00FB334C" w:rsidRPr="004254BB">
        <w:rPr>
          <w:rFonts w:ascii="Bookman Old Style" w:hAnsi="Bookman Old Style"/>
        </w:rPr>
        <w:t xml:space="preserve"> risolvere il </w:t>
      </w:r>
      <w:r w:rsidR="00FB334C" w:rsidRPr="004254BB">
        <w:rPr>
          <w:rFonts w:ascii="Bookman Old Style" w:hAnsi="Bookman Old Style"/>
          <w:b/>
          <w:bCs/>
          <w:u w:val="single"/>
        </w:rPr>
        <w:t>problema della carenza di centrali di committenza che non si qualificano</w:t>
      </w:r>
      <w:r w:rsidR="00FB334C" w:rsidRPr="004254BB">
        <w:rPr>
          <w:rFonts w:ascii="Bookman Old Style" w:hAnsi="Bookman Old Style"/>
        </w:rPr>
        <w:t>.</w:t>
      </w:r>
      <w:r w:rsidR="00FB334C">
        <w:rPr>
          <w:rFonts w:ascii="Bookman Old Style" w:hAnsi="Bookman Old Style"/>
        </w:rPr>
        <w:t xml:space="preserve"> </w:t>
      </w:r>
      <w:r w:rsidR="00FB334C" w:rsidRPr="00FB334C">
        <w:rPr>
          <w:rFonts w:ascii="Bookman Old Style" w:hAnsi="Bookman Old Style"/>
          <w:u w:val="single"/>
        </w:rPr>
        <w:t>P</w:t>
      </w:r>
      <w:r w:rsidRPr="00FB334C">
        <w:rPr>
          <w:rFonts w:ascii="Bookman Old Style" w:hAnsi="Bookman Old Style"/>
          <w:u w:val="single"/>
        </w:rPr>
        <w:t>ertanto</w:t>
      </w:r>
      <w:r w:rsidR="00FB334C">
        <w:rPr>
          <w:rFonts w:ascii="Bookman Old Style" w:hAnsi="Bookman Old Style"/>
          <w:u w:val="single"/>
        </w:rPr>
        <w:t>,</w:t>
      </w:r>
      <w:r w:rsidRPr="00FB334C">
        <w:rPr>
          <w:rFonts w:ascii="Bookman Old Style" w:hAnsi="Bookman Old Style"/>
          <w:u w:val="single"/>
        </w:rPr>
        <w:t xml:space="preserve"> </w:t>
      </w:r>
      <w:r w:rsidR="006019A3" w:rsidRPr="00FB334C">
        <w:rPr>
          <w:rFonts w:ascii="Bookman Old Style" w:hAnsi="Bookman Old Style"/>
          <w:u w:val="single"/>
        </w:rPr>
        <w:t xml:space="preserve">come ANCI, </w:t>
      </w:r>
      <w:r w:rsidR="00E62DC4" w:rsidRPr="00FB334C">
        <w:rPr>
          <w:rFonts w:ascii="Bookman Old Style" w:hAnsi="Bookman Old Style"/>
          <w:u w:val="single"/>
        </w:rPr>
        <w:t>chiediamo</w:t>
      </w:r>
      <w:r w:rsidR="0061397D">
        <w:rPr>
          <w:rFonts w:ascii="Bookman Old Style" w:hAnsi="Bookman Old Style"/>
          <w:u w:val="single"/>
        </w:rPr>
        <w:t xml:space="preserve"> di</w:t>
      </w:r>
      <w:r>
        <w:rPr>
          <w:rFonts w:ascii="Bookman Old Style" w:hAnsi="Bookman Old Style"/>
          <w:u w:val="single"/>
        </w:rPr>
        <w:t>:</w:t>
      </w:r>
    </w:p>
    <w:p w14:paraId="156B4347" w14:textId="70C64BD6" w:rsidR="0027183F" w:rsidRPr="0027183F" w:rsidRDefault="0027183F" w:rsidP="00423BB9">
      <w:pPr>
        <w:pStyle w:val="Corpotesto"/>
        <w:numPr>
          <w:ilvl w:val="0"/>
          <w:numId w:val="5"/>
        </w:numPr>
        <w:spacing w:line="312" w:lineRule="auto"/>
        <w:ind w:left="714" w:right="113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prevedere</w:t>
      </w:r>
      <w:r w:rsidR="00C845A2">
        <w:rPr>
          <w:rFonts w:ascii="Bookman Old Style" w:hAnsi="Bookman Old Style"/>
          <w:sz w:val="22"/>
          <w:szCs w:val="22"/>
        </w:rPr>
        <w:t xml:space="preserve"> – elemento fondamentale - </w:t>
      </w:r>
      <w:r w:rsidR="000E169C" w:rsidRPr="0027183F">
        <w:rPr>
          <w:rFonts w:ascii="Bookman Old Style" w:hAnsi="Bookman Old Style"/>
          <w:sz w:val="22"/>
          <w:szCs w:val="22"/>
        </w:rPr>
        <w:t>soprattutto in questa delicata fase di attuazione del PNRR</w:t>
      </w:r>
      <w:r w:rsidR="00516E41" w:rsidRPr="0027183F">
        <w:rPr>
          <w:rFonts w:ascii="Bookman Old Style" w:hAnsi="Bookman Old Style"/>
          <w:sz w:val="22"/>
          <w:szCs w:val="22"/>
        </w:rPr>
        <w:t xml:space="preserve">, </w:t>
      </w:r>
      <w:r w:rsidRPr="0027183F">
        <w:rPr>
          <w:rFonts w:ascii="Bookman Old Style" w:hAnsi="Bookman Old Style"/>
          <w:b/>
          <w:bCs/>
          <w:sz w:val="22"/>
          <w:szCs w:val="22"/>
        </w:rPr>
        <w:t>la qualificazione “di diritto”</w:t>
      </w:r>
      <w:r w:rsidRPr="0027183F">
        <w:rPr>
          <w:rFonts w:ascii="Bookman Old Style" w:hAnsi="Bookman Old Style"/>
          <w:sz w:val="22"/>
          <w:szCs w:val="22"/>
        </w:rPr>
        <w:t xml:space="preserve"> ovvero “di diritto con riserva” anche dei Comuni Capoluogo, </w:t>
      </w:r>
      <w:r>
        <w:rPr>
          <w:rFonts w:ascii="Bookman Old Style" w:hAnsi="Bookman Old Style"/>
          <w:sz w:val="22"/>
          <w:szCs w:val="22"/>
        </w:rPr>
        <w:t>al pari delle</w:t>
      </w:r>
      <w:r w:rsidRPr="0027183F">
        <w:rPr>
          <w:rFonts w:ascii="Bookman Old Style" w:hAnsi="Bookman Old Style"/>
          <w:sz w:val="22"/>
          <w:szCs w:val="22"/>
        </w:rPr>
        <w:t xml:space="preserve"> Province e delle Città Metropolitane</w:t>
      </w:r>
      <w:r w:rsidR="0032067A">
        <w:rPr>
          <w:rFonts w:ascii="Bookman Old Style" w:hAnsi="Bookman Old Style"/>
          <w:sz w:val="22"/>
          <w:szCs w:val="22"/>
        </w:rPr>
        <w:t xml:space="preserve">. </w:t>
      </w:r>
    </w:p>
    <w:p w14:paraId="1FAC38DE" w14:textId="55EBC04E" w:rsidR="009B3E6E" w:rsidRPr="009B3E6E" w:rsidRDefault="00041363" w:rsidP="00423BB9">
      <w:pPr>
        <w:pStyle w:val="Corpotesto"/>
        <w:numPr>
          <w:ilvl w:val="0"/>
          <w:numId w:val="5"/>
        </w:numPr>
        <w:spacing w:line="312" w:lineRule="auto"/>
        <w:ind w:right="112"/>
        <w:rPr>
          <w:rFonts w:ascii="Bookman Old Style" w:hAnsi="Bookman Old Style"/>
          <w:b/>
          <w:sz w:val="22"/>
          <w:szCs w:val="22"/>
        </w:rPr>
      </w:pPr>
      <w:r w:rsidRPr="00EF7BA0">
        <w:rPr>
          <w:rFonts w:ascii="Bookman Old Style" w:hAnsi="Bookman Old Style"/>
          <w:b/>
          <w:bCs/>
          <w:sz w:val="22"/>
          <w:szCs w:val="22"/>
        </w:rPr>
        <w:t>modificare e semplificare la procedura farraginosa</w:t>
      </w:r>
      <w:r w:rsidRPr="00EF7BA0">
        <w:rPr>
          <w:rFonts w:ascii="Bookman Old Style" w:hAnsi="Bookman Old Style"/>
          <w:sz w:val="22"/>
          <w:szCs w:val="22"/>
        </w:rPr>
        <w:t xml:space="preserve"> </w:t>
      </w:r>
      <w:r w:rsidR="00382C99" w:rsidRPr="00EF7BA0">
        <w:rPr>
          <w:rFonts w:ascii="Bookman Old Style" w:hAnsi="Bookman Old Style"/>
          <w:sz w:val="22"/>
          <w:szCs w:val="22"/>
        </w:rPr>
        <w:t xml:space="preserve">inerente </w:t>
      </w:r>
      <w:proofErr w:type="gramStart"/>
      <w:r w:rsidR="00382C99" w:rsidRPr="00EF7BA0">
        <w:rPr>
          <w:rFonts w:ascii="Bookman Old Style" w:hAnsi="Bookman Old Style"/>
          <w:sz w:val="22"/>
          <w:szCs w:val="22"/>
        </w:rPr>
        <w:t>la</w:t>
      </w:r>
      <w:proofErr w:type="gramEnd"/>
      <w:r w:rsidR="00382C99" w:rsidRPr="00EF7BA0">
        <w:rPr>
          <w:rFonts w:ascii="Bookman Old Style" w:hAnsi="Bookman Old Style"/>
          <w:sz w:val="22"/>
          <w:szCs w:val="22"/>
        </w:rPr>
        <w:t xml:space="preserve"> ricerca delle centrali </w:t>
      </w:r>
      <w:r w:rsidR="00FE6480" w:rsidRPr="00EF7BA0">
        <w:rPr>
          <w:rFonts w:ascii="Bookman Old Style" w:hAnsi="Bookman Old Style"/>
          <w:sz w:val="22"/>
          <w:szCs w:val="22"/>
        </w:rPr>
        <w:t>d</w:t>
      </w:r>
      <w:r w:rsidR="00382C99" w:rsidRPr="00EF7BA0">
        <w:rPr>
          <w:rFonts w:ascii="Bookman Old Style" w:hAnsi="Bookman Old Style"/>
          <w:sz w:val="22"/>
          <w:szCs w:val="22"/>
        </w:rPr>
        <w:t xml:space="preserve">i committenza qualificate da </w:t>
      </w:r>
      <w:r w:rsidR="00BC4DA3">
        <w:rPr>
          <w:rFonts w:ascii="Bookman Old Style" w:hAnsi="Bookman Old Style"/>
          <w:sz w:val="22"/>
          <w:szCs w:val="22"/>
        </w:rPr>
        <w:t xml:space="preserve">parte di soggetti non qualificati. Per ANCI, tale norma va corretta. Occorre </w:t>
      </w:r>
      <w:r w:rsidR="00382C99" w:rsidRPr="00EF7BA0">
        <w:rPr>
          <w:rFonts w:ascii="Bookman Old Style" w:hAnsi="Bookman Old Style"/>
          <w:sz w:val="22"/>
          <w:szCs w:val="22"/>
        </w:rPr>
        <w:t xml:space="preserve">introdurre </w:t>
      </w:r>
      <w:r w:rsidR="009000FD" w:rsidRPr="00EF7BA0">
        <w:rPr>
          <w:rFonts w:ascii="Bookman Old Style" w:hAnsi="Bookman Old Style"/>
          <w:sz w:val="22"/>
          <w:szCs w:val="22"/>
        </w:rPr>
        <w:t xml:space="preserve">la possibilità di poter </w:t>
      </w:r>
      <w:r w:rsidR="009000FD" w:rsidRPr="00EF7BA0">
        <w:rPr>
          <w:rFonts w:ascii="Bookman Old Style" w:hAnsi="Bookman Old Style"/>
          <w:b/>
          <w:bCs/>
          <w:sz w:val="22"/>
          <w:szCs w:val="22"/>
        </w:rPr>
        <w:t>procedere autonomamente da parte delle SA non qualificate</w:t>
      </w:r>
      <w:r w:rsidR="009000FD" w:rsidRPr="00EF7BA0">
        <w:rPr>
          <w:rFonts w:ascii="Bookman Old Style" w:hAnsi="Bookman Old Style"/>
          <w:sz w:val="22"/>
          <w:szCs w:val="22"/>
        </w:rPr>
        <w:t xml:space="preserve"> nel caso in cui non vi sia una stazione appaltante qualificata che </w:t>
      </w:r>
      <w:r w:rsidR="009000FD" w:rsidRPr="004254BB">
        <w:rPr>
          <w:rFonts w:ascii="Bookman Old Style" w:hAnsi="Bookman Old Style"/>
          <w:sz w:val="22"/>
          <w:szCs w:val="22"/>
        </w:rPr>
        <w:t xml:space="preserve">in tempi rapidi possa effettuare </w:t>
      </w:r>
      <w:r w:rsidR="00382C99" w:rsidRPr="004254BB">
        <w:rPr>
          <w:rFonts w:ascii="Bookman Old Style" w:hAnsi="Bookman Old Style"/>
          <w:sz w:val="22"/>
          <w:szCs w:val="22"/>
        </w:rPr>
        <w:t>l</w:t>
      </w:r>
      <w:r w:rsidR="00FE6480" w:rsidRPr="004254BB">
        <w:rPr>
          <w:rFonts w:ascii="Bookman Old Style" w:hAnsi="Bookman Old Style"/>
          <w:sz w:val="22"/>
          <w:szCs w:val="22"/>
        </w:rPr>
        <w:t xml:space="preserve">’affidamento richiesto, eliminando </w:t>
      </w:r>
      <w:r w:rsidR="00EA2476" w:rsidRPr="004254BB">
        <w:rPr>
          <w:rFonts w:ascii="Bookman Old Style" w:hAnsi="Bookman Old Style"/>
          <w:sz w:val="22"/>
          <w:szCs w:val="22"/>
        </w:rPr>
        <w:t xml:space="preserve">così </w:t>
      </w:r>
      <w:r w:rsidR="00FE6480" w:rsidRPr="004254BB">
        <w:rPr>
          <w:rFonts w:ascii="Bookman Old Style" w:hAnsi="Bookman Old Style"/>
          <w:sz w:val="22"/>
          <w:szCs w:val="22"/>
        </w:rPr>
        <w:t>il passaggio con ANAC ed i lunghi tempi di attesa adesso previsti</w:t>
      </w:r>
      <w:r w:rsidR="0032067A" w:rsidRPr="004254BB">
        <w:rPr>
          <w:rFonts w:ascii="Bookman Old Style" w:hAnsi="Bookman Old Style"/>
          <w:sz w:val="22"/>
          <w:szCs w:val="22"/>
        </w:rPr>
        <w:t xml:space="preserve">. </w:t>
      </w:r>
    </w:p>
    <w:p w14:paraId="1296D294" w14:textId="041FD99A" w:rsidR="00041363" w:rsidRPr="004254BB" w:rsidRDefault="0032067A" w:rsidP="009B3E6E">
      <w:pPr>
        <w:pStyle w:val="Corpotesto"/>
        <w:spacing w:line="312" w:lineRule="auto"/>
        <w:ind w:left="720" w:right="112"/>
        <w:rPr>
          <w:rFonts w:ascii="Bookman Old Style" w:hAnsi="Bookman Old Style"/>
          <w:b/>
          <w:sz w:val="22"/>
          <w:szCs w:val="22"/>
        </w:rPr>
      </w:pPr>
      <w:r w:rsidRPr="004254BB">
        <w:rPr>
          <w:rFonts w:ascii="Bookman Old Style" w:hAnsi="Bookman Old Style"/>
          <w:sz w:val="22"/>
          <w:szCs w:val="22"/>
        </w:rPr>
        <w:t>Il nuovo codice</w:t>
      </w:r>
      <w:r w:rsidR="00BC4DA3">
        <w:rPr>
          <w:rFonts w:ascii="Bookman Old Style" w:hAnsi="Bookman Old Style"/>
          <w:sz w:val="22"/>
          <w:szCs w:val="22"/>
        </w:rPr>
        <w:t>, (articolo 62 comma 10)</w:t>
      </w:r>
      <w:r w:rsidRPr="004254BB">
        <w:rPr>
          <w:rFonts w:ascii="Bookman Old Style" w:hAnsi="Bookman Old Style"/>
          <w:sz w:val="22"/>
          <w:szCs w:val="22"/>
        </w:rPr>
        <w:t xml:space="preserve">, prevede infatti una </w:t>
      </w:r>
      <w:r w:rsidRPr="004254BB">
        <w:rPr>
          <w:rFonts w:ascii="Bookman Old Style" w:hAnsi="Bookman Old Style"/>
          <w:b/>
          <w:bCs/>
          <w:sz w:val="22"/>
          <w:szCs w:val="22"/>
        </w:rPr>
        <w:t>procedura complessa</w:t>
      </w:r>
      <w:r w:rsidRPr="004254BB">
        <w:rPr>
          <w:rFonts w:ascii="Bookman Old Style" w:hAnsi="Bookman Old Style"/>
          <w:sz w:val="22"/>
          <w:szCs w:val="22"/>
        </w:rPr>
        <w:t xml:space="preserve"> (dopo 3 rifiuti da parte di Centrali di Committenza (CC) qualificate per la gara di </w:t>
      </w:r>
      <w:r w:rsidRPr="004254BB">
        <w:rPr>
          <w:rFonts w:ascii="Bookman Old Style" w:hAnsi="Bookman Old Style"/>
          <w:sz w:val="22"/>
          <w:szCs w:val="22"/>
        </w:rPr>
        <w:lastRenderedPageBreak/>
        <w:t>una centrale non qualificata, ANAC affida d’ufficio - non è chiaro a quale CC e con quale modalità – il compito di svolgere la gara stessa). Ciò allunga di molto l’avvio dell’affidamento (si arriva a</w:t>
      </w:r>
      <w:r w:rsidR="000A0A7D">
        <w:rPr>
          <w:rFonts w:ascii="Bookman Old Style" w:hAnsi="Bookman Old Style"/>
          <w:sz w:val="22"/>
          <w:szCs w:val="22"/>
        </w:rPr>
        <w:t xml:space="preserve">d un mimino </w:t>
      </w:r>
      <w:proofErr w:type="gramStart"/>
      <w:r w:rsidR="000A0A7D">
        <w:rPr>
          <w:rFonts w:ascii="Bookman Old Style" w:hAnsi="Bookman Old Style"/>
          <w:sz w:val="22"/>
          <w:szCs w:val="22"/>
        </w:rPr>
        <w:t xml:space="preserve">di </w:t>
      </w:r>
      <w:r w:rsidRPr="004254BB">
        <w:rPr>
          <w:rFonts w:ascii="Bookman Old Style" w:hAnsi="Bookman Old Style"/>
          <w:sz w:val="22"/>
          <w:szCs w:val="22"/>
        </w:rPr>
        <w:t xml:space="preserve"> 45</w:t>
      </w:r>
      <w:proofErr w:type="gramEnd"/>
      <w:r w:rsidRPr="004254BB">
        <w:rPr>
          <w:rFonts w:ascii="Bookman Old Style" w:hAnsi="Bookman Old Style"/>
          <w:sz w:val="22"/>
          <w:szCs w:val="22"/>
        </w:rPr>
        <w:t xml:space="preserve"> gg per svolgere tutte le procedure di verifica richieste)</w:t>
      </w:r>
      <w:r w:rsidR="000A0A7D">
        <w:rPr>
          <w:rFonts w:ascii="Bookman Old Style" w:hAnsi="Bookman Old Style"/>
          <w:sz w:val="22"/>
          <w:szCs w:val="22"/>
        </w:rPr>
        <w:t xml:space="preserve"> di opere pubbliche che potrebbero anche essere interventi urgenti di manutenzioni straordinaria, si pensi ad esempio alla riparazione di un tetto di un asilo nido o alla realizzazione di una argine di un fiume per rischio idrogeologico;.</w:t>
      </w:r>
    </w:p>
    <w:p w14:paraId="7FA9BF8A" w14:textId="146FBAEF" w:rsidR="00122FDA" w:rsidRPr="004254BB" w:rsidRDefault="006019A3" w:rsidP="00423BB9">
      <w:pPr>
        <w:pStyle w:val="Corpotesto"/>
        <w:numPr>
          <w:ilvl w:val="0"/>
          <w:numId w:val="5"/>
        </w:numPr>
        <w:spacing w:line="312" w:lineRule="auto"/>
        <w:ind w:right="113"/>
        <w:rPr>
          <w:rFonts w:ascii="Bookman Old Style" w:hAnsi="Bookman Old Style"/>
          <w:sz w:val="22"/>
          <w:szCs w:val="22"/>
        </w:rPr>
      </w:pPr>
      <w:r w:rsidRPr="004254BB">
        <w:rPr>
          <w:rFonts w:ascii="Bookman Old Style" w:hAnsi="Bookman Old Style"/>
          <w:b/>
          <w:bCs/>
          <w:sz w:val="22"/>
          <w:szCs w:val="22"/>
        </w:rPr>
        <w:t xml:space="preserve">introdurre un congruo periodo transitorio </w:t>
      </w:r>
      <w:r w:rsidRPr="004254BB">
        <w:rPr>
          <w:rFonts w:ascii="Bookman Old Style" w:hAnsi="Bookman Old Style"/>
          <w:sz w:val="22"/>
          <w:szCs w:val="22"/>
        </w:rPr>
        <w:t>rispetto all’entrata in vigore del sistema di qualificazione che tenga contro della necessità di realizzazione degli interventi del PNRR</w:t>
      </w:r>
      <w:r w:rsidR="00BE371F" w:rsidRPr="004254BB">
        <w:rPr>
          <w:rFonts w:ascii="Bookman Old Style" w:hAnsi="Bookman Old Style"/>
          <w:sz w:val="22"/>
          <w:szCs w:val="22"/>
        </w:rPr>
        <w:t xml:space="preserve">, quindi indicativamente </w:t>
      </w:r>
      <w:r w:rsidR="000A0A7D">
        <w:rPr>
          <w:rFonts w:ascii="Bookman Old Style" w:hAnsi="Bookman Old Style"/>
          <w:sz w:val="22"/>
          <w:szCs w:val="22"/>
        </w:rPr>
        <w:t xml:space="preserve">almeno fino al 30 giungo 2026. </w:t>
      </w:r>
    </w:p>
    <w:p w14:paraId="1C4526FA" w14:textId="77777777" w:rsidR="00FB334C" w:rsidRDefault="00FB334C" w:rsidP="00423BB9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/>
        </w:rPr>
      </w:pPr>
    </w:p>
    <w:p w14:paraId="132CE39D" w14:textId="30F23A14" w:rsidR="00241A5A" w:rsidRPr="004254BB" w:rsidRDefault="000A0A7D" w:rsidP="00423BB9">
      <w:p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Si precisa infine che, in sede di </w:t>
      </w:r>
      <w:r w:rsidR="00BC4DA3">
        <w:rPr>
          <w:rFonts w:ascii="Bookman Old Style" w:hAnsi="Bookman Old Style"/>
        </w:rPr>
        <w:tab/>
        <w:t>C</w:t>
      </w:r>
      <w:r>
        <w:rPr>
          <w:rFonts w:ascii="Bookman Old Style" w:hAnsi="Bookman Old Style"/>
        </w:rPr>
        <w:t xml:space="preserve">onferenza unificata, </w:t>
      </w:r>
      <w:r w:rsidR="0032067A" w:rsidRPr="004254BB">
        <w:rPr>
          <w:rFonts w:ascii="Bookman Old Style" w:hAnsi="Bookman Old Style"/>
          <w:b/>
          <w:bCs/>
        </w:rPr>
        <w:t xml:space="preserve">il </w:t>
      </w:r>
      <w:r w:rsidR="00FB334C">
        <w:rPr>
          <w:rFonts w:ascii="Bookman Old Style" w:hAnsi="Bookman Old Style"/>
          <w:b/>
          <w:bCs/>
        </w:rPr>
        <w:t>G</w:t>
      </w:r>
      <w:r w:rsidR="0032067A" w:rsidRPr="004254BB">
        <w:rPr>
          <w:rFonts w:ascii="Bookman Old Style" w:hAnsi="Bookman Old Style"/>
          <w:b/>
          <w:bCs/>
        </w:rPr>
        <w:t>overno si è impegnato a:</w:t>
      </w:r>
    </w:p>
    <w:p w14:paraId="108ADD7D" w14:textId="7D1019A4" w:rsidR="002E473E" w:rsidRPr="004254BB" w:rsidRDefault="00E60A56" w:rsidP="00423B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/>
        </w:rPr>
      </w:pPr>
      <w:r w:rsidRPr="004254BB">
        <w:rPr>
          <w:rFonts w:ascii="Bookman Old Style" w:hAnsi="Bookman Old Style"/>
        </w:rPr>
        <w:t>verificare con la Commissione</w:t>
      </w:r>
      <w:r w:rsidR="00BC4DA3">
        <w:rPr>
          <w:rFonts w:ascii="Bookman Old Style" w:hAnsi="Bookman Old Style"/>
        </w:rPr>
        <w:t xml:space="preserve"> Europea</w:t>
      </w:r>
      <w:r w:rsidRPr="004254BB">
        <w:rPr>
          <w:rFonts w:ascii="Bookman Old Style" w:hAnsi="Bookman Old Style"/>
        </w:rPr>
        <w:t xml:space="preserve">, </w:t>
      </w:r>
      <w:r w:rsidRPr="00BC4DA3">
        <w:rPr>
          <w:rFonts w:ascii="Bookman Old Style" w:hAnsi="Bookman Old Style"/>
          <w:b/>
          <w:bCs/>
          <w:u w:val="single"/>
        </w:rPr>
        <w:t xml:space="preserve">in sede di prima applicazione, </w:t>
      </w:r>
      <w:r w:rsidR="006A3596" w:rsidRPr="00BC4DA3">
        <w:rPr>
          <w:rFonts w:ascii="Bookman Old Style" w:hAnsi="Bookman Old Style"/>
          <w:b/>
          <w:bCs/>
          <w:u w:val="single"/>
        </w:rPr>
        <w:t xml:space="preserve">l’iscrizione </w:t>
      </w:r>
      <w:r w:rsidRPr="00BC4DA3">
        <w:rPr>
          <w:rFonts w:ascii="Bookman Old Style" w:hAnsi="Bookman Old Style"/>
          <w:b/>
          <w:bCs/>
          <w:u w:val="single"/>
        </w:rPr>
        <w:t xml:space="preserve">con riserva anche </w:t>
      </w:r>
      <w:r w:rsidR="009B3E6E" w:rsidRPr="00BC4DA3">
        <w:rPr>
          <w:rFonts w:ascii="Bookman Old Style" w:hAnsi="Bookman Old Style"/>
          <w:b/>
          <w:bCs/>
          <w:u w:val="single"/>
        </w:rPr>
        <w:t>de</w:t>
      </w:r>
      <w:r w:rsidRPr="00BC4DA3">
        <w:rPr>
          <w:rFonts w:ascii="Bookman Old Style" w:hAnsi="Bookman Old Style"/>
          <w:b/>
          <w:bCs/>
          <w:u w:val="single"/>
        </w:rPr>
        <w:t xml:space="preserve">i Comuni capoluogo (oltre alle </w:t>
      </w:r>
      <w:r w:rsidR="000A0A7D" w:rsidRPr="00BC4DA3">
        <w:rPr>
          <w:rFonts w:ascii="Bookman Old Style" w:hAnsi="Bookman Old Style"/>
          <w:b/>
          <w:bCs/>
          <w:u w:val="single"/>
        </w:rPr>
        <w:t xml:space="preserve">Città Metropolitane e alle </w:t>
      </w:r>
      <w:r w:rsidRPr="00BC4DA3">
        <w:rPr>
          <w:rFonts w:ascii="Bookman Old Style" w:hAnsi="Bookman Old Style"/>
          <w:b/>
          <w:bCs/>
          <w:u w:val="single"/>
        </w:rPr>
        <w:t>Province) nell’elenco delle centrali di committenza qualificate di diritto</w:t>
      </w:r>
      <w:r w:rsidR="00E161F9" w:rsidRPr="00FB334C">
        <w:rPr>
          <w:rFonts w:ascii="Bookman Old Style" w:hAnsi="Bookman Old Style"/>
        </w:rPr>
        <w:t>.</w:t>
      </w:r>
      <w:r w:rsidR="00E161F9" w:rsidRPr="004254BB">
        <w:rPr>
          <w:rFonts w:ascii="Bookman Old Style" w:hAnsi="Bookman Old Style"/>
        </w:rPr>
        <w:t xml:space="preserve"> </w:t>
      </w:r>
      <w:r w:rsidR="000A0A7D">
        <w:rPr>
          <w:rFonts w:ascii="Bookman Old Style" w:hAnsi="Bookman Old Style"/>
        </w:rPr>
        <w:t xml:space="preserve">Auspichiamo, visto l’impegno del Governo, che anche il Parlamento faccia propria questa richiesta di modifica nell’espressione del proprio parere. </w:t>
      </w:r>
    </w:p>
    <w:p w14:paraId="47E678A1" w14:textId="787A2DA3" w:rsidR="000D47C9" w:rsidRPr="004254BB" w:rsidRDefault="002E473E" w:rsidP="00423B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Bookman Old Style" w:hAnsi="Bookman Old Style"/>
          <w:u w:val="single"/>
        </w:rPr>
      </w:pPr>
      <w:r w:rsidRPr="004254BB">
        <w:rPr>
          <w:rFonts w:ascii="Bookman Old Style" w:hAnsi="Bookman Old Style"/>
        </w:rPr>
        <w:t>verificare</w:t>
      </w:r>
      <w:r w:rsidR="005865D8" w:rsidRPr="004254BB">
        <w:rPr>
          <w:rFonts w:ascii="Bookman Old Style" w:hAnsi="Bookman Old Style"/>
        </w:rPr>
        <w:t xml:space="preserve"> </w:t>
      </w:r>
      <w:r w:rsidR="001D5606">
        <w:rPr>
          <w:rFonts w:ascii="Bookman Old Style" w:hAnsi="Bookman Old Style"/>
        </w:rPr>
        <w:t xml:space="preserve">la </w:t>
      </w:r>
      <w:r w:rsidR="001D5606" w:rsidRPr="00FB334C">
        <w:rPr>
          <w:rFonts w:ascii="Bookman Old Style" w:hAnsi="Bookman Old Style"/>
          <w:u w:val="single"/>
        </w:rPr>
        <w:t xml:space="preserve">sostituzione </w:t>
      </w:r>
      <w:r w:rsidRPr="00FB334C">
        <w:rPr>
          <w:rFonts w:ascii="Bookman Old Style" w:hAnsi="Bookman Old Style"/>
          <w:u w:val="single"/>
        </w:rPr>
        <w:t>dell</w:t>
      </w:r>
      <w:r w:rsidR="001D5606" w:rsidRPr="00FB334C">
        <w:rPr>
          <w:rFonts w:ascii="Bookman Old Style" w:hAnsi="Bookman Old Style"/>
          <w:u w:val="single"/>
        </w:rPr>
        <w:t>’at</w:t>
      </w:r>
      <w:r w:rsidR="00FB334C" w:rsidRPr="00FB334C">
        <w:rPr>
          <w:rFonts w:ascii="Bookman Old Style" w:hAnsi="Bookman Old Style"/>
          <w:u w:val="single"/>
        </w:rPr>
        <w:t>tuale</w:t>
      </w:r>
      <w:r w:rsidR="005865D8" w:rsidRPr="00FB334C">
        <w:rPr>
          <w:rFonts w:ascii="Bookman Old Style" w:hAnsi="Bookman Old Style"/>
          <w:u w:val="single"/>
        </w:rPr>
        <w:t xml:space="preserve"> procedura</w:t>
      </w:r>
      <w:r w:rsidRPr="00FB334C">
        <w:rPr>
          <w:rFonts w:ascii="Bookman Old Style" w:hAnsi="Bookman Old Style"/>
          <w:u w:val="single"/>
        </w:rPr>
        <w:t xml:space="preserve"> di affidamento per le centrali di committenza non qualificate, </w:t>
      </w:r>
      <w:r w:rsidR="000D47C9" w:rsidRPr="00FB334C">
        <w:rPr>
          <w:rFonts w:ascii="Bookman Old Style" w:hAnsi="Bookman Old Style"/>
          <w:u w:val="single"/>
        </w:rPr>
        <w:t>con un meccanismo rapido ed efficiente</w:t>
      </w:r>
      <w:r w:rsidR="000D47C9" w:rsidRPr="004254BB">
        <w:rPr>
          <w:rFonts w:ascii="Bookman Old Style" w:hAnsi="Bookman Old Style"/>
        </w:rPr>
        <w:t xml:space="preserve"> che, in tempi certi, consenta all’amministrazione non qualificata di individuare una centrale di committenza disponibile a svolgere la procedura di gara</w:t>
      </w:r>
      <w:r w:rsidR="005865D8" w:rsidRPr="004254BB">
        <w:rPr>
          <w:rFonts w:ascii="Bookman Old Style" w:hAnsi="Bookman Old Style"/>
        </w:rPr>
        <w:t>.</w:t>
      </w:r>
      <w:r w:rsidRPr="004254BB">
        <w:rPr>
          <w:rFonts w:ascii="Bookman Old Style" w:hAnsi="Bookman Old Style"/>
        </w:rPr>
        <w:t xml:space="preserve"> </w:t>
      </w:r>
      <w:r w:rsidR="000A0A7D">
        <w:rPr>
          <w:rFonts w:ascii="Bookman Old Style" w:hAnsi="Bookman Old Style"/>
        </w:rPr>
        <w:t>Il Governo, sempre in Conferenza Unificata, ha condiviso il principio emendati</w:t>
      </w:r>
      <w:r w:rsidR="00BC4DA3">
        <w:rPr>
          <w:rFonts w:ascii="Bookman Old Style" w:hAnsi="Bookman Old Style"/>
        </w:rPr>
        <w:t>vo</w:t>
      </w:r>
      <w:r w:rsidR="000A0A7D">
        <w:rPr>
          <w:rFonts w:ascii="Bookman Old Style" w:hAnsi="Bookman Old Style"/>
        </w:rPr>
        <w:t xml:space="preserve"> dell’Associazione su questo punto. Auspichiamo anche su questo che il Governo traduca in un correttivo alla no</w:t>
      </w:r>
      <w:r w:rsidR="00BC4DA3">
        <w:rPr>
          <w:rFonts w:ascii="Bookman Old Style" w:hAnsi="Bookman Old Style"/>
        </w:rPr>
        <w:t xml:space="preserve">rma </w:t>
      </w:r>
      <w:proofErr w:type="spellStart"/>
      <w:r w:rsidR="00BC4DA3">
        <w:rPr>
          <w:rFonts w:ascii="Bookman Old Style" w:hAnsi="Bookman Old Style"/>
        </w:rPr>
        <w:t>la</w:t>
      </w:r>
      <w:proofErr w:type="spellEnd"/>
      <w:r w:rsidR="00BC4DA3">
        <w:rPr>
          <w:rFonts w:ascii="Bookman Old Style" w:hAnsi="Bookman Old Style"/>
        </w:rPr>
        <w:t xml:space="preserve"> condivisione del principio e che il Parlamento faccia propria questa richiesta nell’espressione del proprio parere. </w:t>
      </w:r>
    </w:p>
    <w:p w14:paraId="5AB2800B" w14:textId="6FAE855D" w:rsidR="00675F29" w:rsidRPr="00C425E5" w:rsidRDefault="00675F29" w:rsidP="00423BB9">
      <w:pPr>
        <w:spacing w:after="0" w:line="312" w:lineRule="auto"/>
        <w:jc w:val="both"/>
        <w:rPr>
          <w:rFonts w:ascii="Bookman Old Style" w:hAnsi="Bookman Old Style"/>
          <w:u w:val="single"/>
        </w:rPr>
      </w:pPr>
    </w:p>
    <w:p w14:paraId="43F52464" w14:textId="7E279837" w:rsidR="006A13C2" w:rsidRDefault="006A13C2" w:rsidP="00423BB9">
      <w:pPr>
        <w:spacing w:after="0"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Infine, è importante </w:t>
      </w:r>
      <w:r w:rsidR="002E473E">
        <w:rPr>
          <w:rFonts w:ascii="Bookman Old Style" w:hAnsi="Bookman Old Style"/>
        </w:rPr>
        <w:t xml:space="preserve">segnalare la necessità di un </w:t>
      </w:r>
      <w:r w:rsidRPr="0036772B">
        <w:rPr>
          <w:rFonts w:ascii="Bookman Old Style" w:hAnsi="Bookman Old Style"/>
          <w:b/>
          <w:bCs/>
        </w:rPr>
        <w:t>accompagnamento rispetto all’entrata in vigore delle disposizioni del nuovo codice appalti</w:t>
      </w:r>
      <w:r>
        <w:rPr>
          <w:rFonts w:ascii="Bookman Old Style" w:hAnsi="Bookman Old Style"/>
        </w:rPr>
        <w:t>, altrimenti il rischio è di bloccare gli investimenti</w:t>
      </w:r>
      <w:r w:rsidR="003F0718">
        <w:rPr>
          <w:rFonts w:ascii="Bookman Old Style" w:hAnsi="Bookman Old Style"/>
        </w:rPr>
        <w:t xml:space="preserve"> proprio mentre abbiamo bisogn</w:t>
      </w:r>
      <w:r w:rsidR="00D103F5">
        <w:rPr>
          <w:rFonts w:ascii="Bookman Old Style" w:hAnsi="Bookman Old Style"/>
        </w:rPr>
        <w:t>o</w:t>
      </w:r>
      <w:r w:rsidR="003F0718">
        <w:rPr>
          <w:rFonts w:ascii="Bookman Old Style" w:hAnsi="Bookman Old Style"/>
        </w:rPr>
        <w:t xml:space="preserve"> di avviare </w:t>
      </w:r>
      <w:r w:rsidR="00D103F5">
        <w:rPr>
          <w:rFonts w:ascii="Bookman Old Style" w:hAnsi="Bookman Old Style"/>
        </w:rPr>
        <w:t xml:space="preserve">le opere previste nel PNRR ed anche quelle necessarie, per lo sviluppo locale e del Paese, già programmate. </w:t>
      </w:r>
    </w:p>
    <w:p w14:paraId="500769D2" w14:textId="77777777" w:rsidR="006D0406" w:rsidRDefault="006D0406" w:rsidP="00423BB9">
      <w:pPr>
        <w:spacing w:after="0" w:line="312" w:lineRule="auto"/>
        <w:jc w:val="both"/>
        <w:rPr>
          <w:rFonts w:ascii="Bookman Old Style" w:hAnsi="Bookman Old Style"/>
        </w:rPr>
      </w:pPr>
    </w:p>
    <w:p w14:paraId="0B644510" w14:textId="1742DDD2" w:rsidR="00FB334C" w:rsidRPr="00FB334C" w:rsidRDefault="006D0406" w:rsidP="00423BB9">
      <w:pPr>
        <w:spacing w:after="0" w:line="312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Per completezza, si </w:t>
      </w:r>
      <w:r w:rsidR="00FB334C" w:rsidRPr="00FB334C">
        <w:rPr>
          <w:rFonts w:ascii="Bookman Old Style" w:hAnsi="Bookman Old Style"/>
          <w:b/>
          <w:bCs/>
          <w:u w:val="single"/>
        </w:rPr>
        <w:t xml:space="preserve">allegano gli emendamenti fondamentali dell’ANCI, già consegnati </w:t>
      </w:r>
      <w:proofErr w:type="gramStart"/>
      <w:r w:rsidR="00FB334C" w:rsidRPr="00FB334C">
        <w:rPr>
          <w:rFonts w:ascii="Bookman Old Style" w:hAnsi="Bookman Old Style"/>
          <w:b/>
          <w:bCs/>
          <w:u w:val="single"/>
        </w:rPr>
        <w:t>nel</w:t>
      </w:r>
      <w:r w:rsidR="001115FC">
        <w:rPr>
          <w:rFonts w:ascii="Bookman Old Style" w:hAnsi="Bookman Old Style"/>
          <w:b/>
          <w:bCs/>
          <w:u w:val="single"/>
        </w:rPr>
        <w:t xml:space="preserve">  corso</w:t>
      </w:r>
      <w:proofErr w:type="gramEnd"/>
      <w:r w:rsidR="001115FC">
        <w:rPr>
          <w:rFonts w:ascii="Bookman Old Style" w:hAnsi="Bookman Old Style"/>
          <w:b/>
          <w:bCs/>
          <w:u w:val="single"/>
        </w:rPr>
        <w:t xml:space="preserve"> della</w:t>
      </w:r>
      <w:r w:rsidR="00FB334C" w:rsidRPr="00FB334C">
        <w:rPr>
          <w:rFonts w:ascii="Bookman Old Style" w:hAnsi="Bookman Old Style"/>
          <w:b/>
          <w:bCs/>
          <w:u w:val="single"/>
        </w:rPr>
        <w:t xml:space="preserve"> Conferenza Unificata politica del 26 gennaio 2023.</w:t>
      </w:r>
    </w:p>
    <w:p w14:paraId="0E7BF1BA" w14:textId="77777777" w:rsidR="006A13C2" w:rsidRPr="00EF7BA0" w:rsidRDefault="006A13C2" w:rsidP="00423BB9">
      <w:pPr>
        <w:spacing w:after="0" w:line="312" w:lineRule="auto"/>
        <w:jc w:val="both"/>
        <w:rPr>
          <w:rFonts w:ascii="Bookman Old Style" w:hAnsi="Bookman Old Style"/>
        </w:rPr>
      </w:pPr>
    </w:p>
    <w:sectPr w:rsidR="006A13C2" w:rsidRPr="00EF7BA0" w:rsidSect="00AB6E29">
      <w:footerReference w:type="default" r:id="rId9"/>
      <w:pgSz w:w="11906" w:h="16838"/>
      <w:pgMar w:top="1417" w:right="1134" w:bottom="1134" w:left="1134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D7EA" w14:textId="77777777" w:rsidR="00A26D5B" w:rsidRDefault="00A26D5B" w:rsidP="00911A06">
      <w:pPr>
        <w:spacing w:after="0" w:line="240" w:lineRule="auto"/>
      </w:pPr>
      <w:r>
        <w:separator/>
      </w:r>
    </w:p>
  </w:endnote>
  <w:endnote w:type="continuationSeparator" w:id="0">
    <w:p w14:paraId="23672341" w14:textId="77777777" w:rsidR="00A26D5B" w:rsidRDefault="00A26D5B" w:rsidP="0091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36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A82746" w14:textId="2183C9C0" w:rsidR="00AB6E29" w:rsidRPr="00AB6E29" w:rsidRDefault="00AB6E29">
        <w:pPr>
          <w:pStyle w:val="Pidipagina"/>
          <w:jc w:val="right"/>
          <w:rPr>
            <w:sz w:val="16"/>
            <w:szCs w:val="16"/>
          </w:rPr>
        </w:pPr>
        <w:r w:rsidRPr="00AB6E29">
          <w:rPr>
            <w:sz w:val="16"/>
            <w:szCs w:val="16"/>
          </w:rPr>
          <w:fldChar w:fldCharType="begin"/>
        </w:r>
        <w:r w:rsidRPr="00AB6E29">
          <w:rPr>
            <w:sz w:val="16"/>
            <w:szCs w:val="16"/>
          </w:rPr>
          <w:instrText>PAGE   \* MERGEFORMAT</w:instrText>
        </w:r>
        <w:r w:rsidRPr="00AB6E29">
          <w:rPr>
            <w:sz w:val="16"/>
            <w:szCs w:val="16"/>
          </w:rPr>
          <w:fldChar w:fldCharType="separate"/>
        </w:r>
        <w:r w:rsidRPr="00AB6E29">
          <w:rPr>
            <w:sz w:val="16"/>
            <w:szCs w:val="16"/>
          </w:rPr>
          <w:t>2</w:t>
        </w:r>
        <w:r w:rsidRPr="00AB6E29">
          <w:rPr>
            <w:sz w:val="16"/>
            <w:szCs w:val="16"/>
          </w:rPr>
          <w:fldChar w:fldCharType="end"/>
        </w:r>
      </w:p>
    </w:sdtContent>
  </w:sdt>
  <w:p w14:paraId="7E6164C0" w14:textId="77777777" w:rsidR="00911A06" w:rsidRDefault="00911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38A8" w14:textId="77777777" w:rsidR="00A26D5B" w:rsidRDefault="00A26D5B" w:rsidP="00911A06">
      <w:pPr>
        <w:spacing w:after="0" w:line="240" w:lineRule="auto"/>
      </w:pPr>
      <w:r>
        <w:separator/>
      </w:r>
    </w:p>
  </w:footnote>
  <w:footnote w:type="continuationSeparator" w:id="0">
    <w:p w14:paraId="559C7D79" w14:textId="77777777" w:rsidR="00A26D5B" w:rsidRDefault="00A26D5B" w:rsidP="0091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680"/>
    <w:multiLevelType w:val="hybridMultilevel"/>
    <w:tmpl w:val="8CC60B6A"/>
    <w:lvl w:ilvl="0" w:tplc="2F2046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6C1"/>
    <w:multiLevelType w:val="hybridMultilevel"/>
    <w:tmpl w:val="52389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4632"/>
    <w:multiLevelType w:val="hybridMultilevel"/>
    <w:tmpl w:val="F7422F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D65B15"/>
    <w:multiLevelType w:val="hybridMultilevel"/>
    <w:tmpl w:val="5D085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89E"/>
    <w:multiLevelType w:val="hybridMultilevel"/>
    <w:tmpl w:val="1BB41A16"/>
    <w:lvl w:ilvl="0" w:tplc="2EC0F15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73E0"/>
    <w:multiLevelType w:val="hybridMultilevel"/>
    <w:tmpl w:val="E16A49A2"/>
    <w:lvl w:ilvl="0" w:tplc="50089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091D"/>
    <w:multiLevelType w:val="hybridMultilevel"/>
    <w:tmpl w:val="CEB801B8"/>
    <w:lvl w:ilvl="0" w:tplc="75FCAC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F7AB5"/>
    <w:multiLevelType w:val="hybridMultilevel"/>
    <w:tmpl w:val="E05850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B0089"/>
    <w:multiLevelType w:val="hybridMultilevel"/>
    <w:tmpl w:val="71C65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78A9"/>
    <w:multiLevelType w:val="hybridMultilevel"/>
    <w:tmpl w:val="E16A49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62594">
    <w:abstractNumId w:val="3"/>
  </w:num>
  <w:num w:numId="2" w16cid:durableId="286161248">
    <w:abstractNumId w:val="2"/>
  </w:num>
  <w:num w:numId="3" w16cid:durableId="1623002797">
    <w:abstractNumId w:val="6"/>
  </w:num>
  <w:num w:numId="4" w16cid:durableId="1783837798">
    <w:abstractNumId w:val="8"/>
  </w:num>
  <w:num w:numId="5" w16cid:durableId="1322008503">
    <w:abstractNumId w:val="5"/>
  </w:num>
  <w:num w:numId="6" w16cid:durableId="964238541">
    <w:abstractNumId w:val="1"/>
  </w:num>
  <w:num w:numId="7" w16cid:durableId="1161314635">
    <w:abstractNumId w:val="4"/>
  </w:num>
  <w:num w:numId="8" w16cid:durableId="693389114">
    <w:abstractNumId w:val="8"/>
  </w:num>
  <w:num w:numId="9" w16cid:durableId="1326326655">
    <w:abstractNumId w:val="7"/>
  </w:num>
  <w:num w:numId="10" w16cid:durableId="867908665">
    <w:abstractNumId w:val="9"/>
  </w:num>
  <w:num w:numId="11" w16cid:durableId="168081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8"/>
    <w:rsid w:val="00004631"/>
    <w:rsid w:val="0002480A"/>
    <w:rsid w:val="0002546A"/>
    <w:rsid w:val="00026652"/>
    <w:rsid w:val="00032B6C"/>
    <w:rsid w:val="00033B9C"/>
    <w:rsid w:val="00041363"/>
    <w:rsid w:val="00042602"/>
    <w:rsid w:val="00045A42"/>
    <w:rsid w:val="00052A80"/>
    <w:rsid w:val="0005560A"/>
    <w:rsid w:val="00062CD8"/>
    <w:rsid w:val="00064D3E"/>
    <w:rsid w:val="00065CE5"/>
    <w:rsid w:val="00084CAB"/>
    <w:rsid w:val="0009031E"/>
    <w:rsid w:val="000946FF"/>
    <w:rsid w:val="00097669"/>
    <w:rsid w:val="000A0A7D"/>
    <w:rsid w:val="000C36FC"/>
    <w:rsid w:val="000C44C6"/>
    <w:rsid w:val="000C4F74"/>
    <w:rsid w:val="000D155D"/>
    <w:rsid w:val="000D47C9"/>
    <w:rsid w:val="000D4DDB"/>
    <w:rsid w:val="000D5668"/>
    <w:rsid w:val="000E10FD"/>
    <w:rsid w:val="000E169C"/>
    <w:rsid w:val="000F708A"/>
    <w:rsid w:val="00101619"/>
    <w:rsid w:val="001019B4"/>
    <w:rsid w:val="001115FC"/>
    <w:rsid w:val="0011506C"/>
    <w:rsid w:val="00116253"/>
    <w:rsid w:val="00116D82"/>
    <w:rsid w:val="00121059"/>
    <w:rsid w:val="00121FBC"/>
    <w:rsid w:val="0012265F"/>
    <w:rsid w:val="00122FDA"/>
    <w:rsid w:val="0017299A"/>
    <w:rsid w:val="00174BD3"/>
    <w:rsid w:val="00180823"/>
    <w:rsid w:val="0018269E"/>
    <w:rsid w:val="001839F3"/>
    <w:rsid w:val="001853CE"/>
    <w:rsid w:val="0019165C"/>
    <w:rsid w:val="0019641B"/>
    <w:rsid w:val="001A151B"/>
    <w:rsid w:val="001A1CE3"/>
    <w:rsid w:val="001A4551"/>
    <w:rsid w:val="001B253C"/>
    <w:rsid w:val="001B5A01"/>
    <w:rsid w:val="001B6E90"/>
    <w:rsid w:val="001D5606"/>
    <w:rsid w:val="001E0757"/>
    <w:rsid w:val="001E0BCD"/>
    <w:rsid w:val="001E2B99"/>
    <w:rsid w:val="001E74FC"/>
    <w:rsid w:val="001F74CC"/>
    <w:rsid w:val="0020705C"/>
    <w:rsid w:val="00216335"/>
    <w:rsid w:val="00217445"/>
    <w:rsid w:val="00220610"/>
    <w:rsid w:val="002212B2"/>
    <w:rsid w:val="00221A35"/>
    <w:rsid w:val="00223B12"/>
    <w:rsid w:val="00241A5A"/>
    <w:rsid w:val="00266BF5"/>
    <w:rsid w:val="00270024"/>
    <w:rsid w:val="0027183F"/>
    <w:rsid w:val="002874FB"/>
    <w:rsid w:val="00294C31"/>
    <w:rsid w:val="002A0472"/>
    <w:rsid w:val="002A454D"/>
    <w:rsid w:val="002A4851"/>
    <w:rsid w:val="002A7426"/>
    <w:rsid w:val="002B3B0A"/>
    <w:rsid w:val="002B7106"/>
    <w:rsid w:val="002C0938"/>
    <w:rsid w:val="002D1AC8"/>
    <w:rsid w:val="002E2BBD"/>
    <w:rsid w:val="002E473E"/>
    <w:rsid w:val="002F0087"/>
    <w:rsid w:val="00300689"/>
    <w:rsid w:val="00304841"/>
    <w:rsid w:val="00304AB2"/>
    <w:rsid w:val="00312A3E"/>
    <w:rsid w:val="00317172"/>
    <w:rsid w:val="0032067A"/>
    <w:rsid w:val="003268F7"/>
    <w:rsid w:val="00332595"/>
    <w:rsid w:val="0033551C"/>
    <w:rsid w:val="003402B0"/>
    <w:rsid w:val="00340E0A"/>
    <w:rsid w:val="00354FA0"/>
    <w:rsid w:val="003603BE"/>
    <w:rsid w:val="0036578F"/>
    <w:rsid w:val="0036772B"/>
    <w:rsid w:val="00371CDD"/>
    <w:rsid w:val="00374900"/>
    <w:rsid w:val="00382C99"/>
    <w:rsid w:val="00395162"/>
    <w:rsid w:val="003A0659"/>
    <w:rsid w:val="003A4C3E"/>
    <w:rsid w:val="003B072B"/>
    <w:rsid w:val="003B3EB9"/>
    <w:rsid w:val="003B5D3B"/>
    <w:rsid w:val="003B655E"/>
    <w:rsid w:val="003C6928"/>
    <w:rsid w:val="003D40B9"/>
    <w:rsid w:val="003E78C6"/>
    <w:rsid w:val="003F0718"/>
    <w:rsid w:val="003F1307"/>
    <w:rsid w:val="003F3C4C"/>
    <w:rsid w:val="004005AE"/>
    <w:rsid w:val="00403D5F"/>
    <w:rsid w:val="00421813"/>
    <w:rsid w:val="00422999"/>
    <w:rsid w:val="00423BB9"/>
    <w:rsid w:val="004254BB"/>
    <w:rsid w:val="00427D16"/>
    <w:rsid w:val="004408BE"/>
    <w:rsid w:val="004437EF"/>
    <w:rsid w:val="00454180"/>
    <w:rsid w:val="0045639D"/>
    <w:rsid w:val="004577EA"/>
    <w:rsid w:val="00470468"/>
    <w:rsid w:val="00471C3C"/>
    <w:rsid w:val="00485298"/>
    <w:rsid w:val="00490183"/>
    <w:rsid w:val="00494E34"/>
    <w:rsid w:val="004A1D5D"/>
    <w:rsid w:val="004A523C"/>
    <w:rsid w:val="004B3FBC"/>
    <w:rsid w:val="004B4BD5"/>
    <w:rsid w:val="004B5427"/>
    <w:rsid w:val="004C2CE4"/>
    <w:rsid w:val="004C5EE4"/>
    <w:rsid w:val="004D0BDE"/>
    <w:rsid w:val="004E086C"/>
    <w:rsid w:val="004E0A6E"/>
    <w:rsid w:val="004E1BAC"/>
    <w:rsid w:val="004E4068"/>
    <w:rsid w:val="004F5385"/>
    <w:rsid w:val="005026E0"/>
    <w:rsid w:val="00506C9D"/>
    <w:rsid w:val="005102C5"/>
    <w:rsid w:val="00511005"/>
    <w:rsid w:val="00511779"/>
    <w:rsid w:val="00516E41"/>
    <w:rsid w:val="00517515"/>
    <w:rsid w:val="00521B32"/>
    <w:rsid w:val="00523BA8"/>
    <w:rsid w:val="0052418A"/>
    <w:rsid w:val="00530262"/>
    <w:rsid w:val="00544BE4"/>
    <w:rsid w:val="00550460"/>
    <w:rsid w:val="00550AFB"/>
    <w:rsid w:val="00552252"/>
    <w:rsid w:val="00561D6C"/>
    <w:rsid w:val="0056570D"/>
    <w:rsid w:val="00566204"/>
    <w:rsid w:val="00566426"/>
    <w:rsid w:val="00574FCB"/>
    <w:rsid w:val="0058646A"/>
    <w:rsid w:val="005865D8"/>
    <w:rsid w:val="005B0D8A"/>
    <w:rsid w:val="005C2A8A"/>
    <w:rsid w:val="005E015E"/>
    <w:rsid w:val="005E13BE"/>
    <w:rsid w:val="005F2717"/>
    <w:rsid w:val="005F52BA"/>
    <w:rsid w:val="006019A3"/>
    <w:rsid w:val="00604B90"/>
    <w:rsid w:val="006054F1"/>
    <w:rsid w:val="00606D5D"/>
    <w:rsid w:val="0061397D"/>
    <w:rsid w:val="00625179"/>
    <w:rsid w:val="0063454D"/>
    <w:rsid w:val="00635BDA"/>
    <w:rsid w:val="00657487"/>
    <w:rsid w:val="006576FE"/>
    <w:rsid w:val="006644CB"/>
    <w:rsid w:val="00675F29"/>
    <w:rsid w:val="00682998"/>
    <w:rsid w:val="00685D77"/>
    <w:rsid w:val="0068663C"/>
    <w:rsid w:val="00687506"/>
    <w:rsid w:val="006A13C2"/>
    <w:rsid w:val="006A3596"/>
    <w:rsid w:val="006A6CB5"/>
    <w:rsid w:val="006B1967"/>
    <w:rsid w:val="006B5BA0"/>
    <w:rsid w:val="006C0439"/>
    <w:rsid w:val="006C07AA"/>
    <w:rsid w:val="006D0406"/>
    <w:rsid w:val="006D0F40"/>
    <w:rsid w:val="006D5CD6"/>
    <w:rsid w:val="006F3EBE"/>
    <w:rsid w:val="006F6F4A"/>
    <w:rsid w:val="007006CA"/>
    <w:rsid w:val="00702E28"/>
    <w:rsid w:val="00707AEE"/>
    <w:rsid w:val="007175E1"/>
    <w:rsid w:val="00727B59"/>
    <w:rsid w:val="00735BE6"/>
    <w:rsid w:val="00740916"/>
    <w:rsid w:val="00740F4C"/>
    <w:rsid w:val="0074124F"/>
    <w:rsid w:val="007412B6"/>
    <w:rsid w:val="00742590"/>
    <w:rsid w:val="00744A1C"/>
    <w:rsid w:val="00753D71"/>
    <w:rsid w:val="007545A6"/>
    <w:rsid w:val="0076205E"/>
    <w:rsid w:val="00767995"/>
    <w:rsid w:val="00786534"/>
    <w:rsid w:val="00796F86"/>
    <w:rsid w:val="007A4339"/>
    <w:rsid w:val="007B4ADE"/>
    <w:rsid w:val="007B5C6F"/>
    <w:rsid w:val="007B67F9"/>
    <w:rsid w:val="007E55FB"/>
    <w:rsid w:val="007F485E"/>
    <w:rsid w:val="00813B48"/>
    <w:rsid w:val="008202EF"/>
    <w:rsid w:val="00831C61"/>
    <w:rsid w:val="00837821"/>
    <w:rsid w:val="0084243E"/>
    <w:rsid w:val="008447FD"/>
    <w:rsid w:val="00844D58"/>
    <w:rsid w:val="00850B9F"/>
    <w:rsid w:val="00852360"/>
    <w:rsid w:val="00863459"/>
    <w:rsid w:val="0086601E"/>
    <w:rsid w:val="008A0C34"/>
    <w:rsid w:val="008A5177"/>
    <w:rsid w:val="008A57D4"/>
    <w:rsid w:val="008B3AE6"/>
    <w:rsid w:val="008B7E6C"/>
    <w:rsid w:val="008C5B28"/>
    <w:rsid w:val="008C6D12"/>
    <w:rsid w:val="008D3B06"/>
    <w:rsid w:val="008D51A4"/>
    <w:rsid w:val="008D6EE2"/>
    <w:rsid w:val="008E3DE2"/>
    <w:rsid w:val="008E5C8C"/>
    <w:rsid w:val="008F1C3C"/>
    <w:rsid w:val="009000FD"/>
    <w:rsid w:val="0090172F"/>
    <w:rsid w:val="00911A06"/>
    <w:rsid w:val="00912D0B"/>
    <w:rsid w:val="009347A1"/>
    <w:rsid w:val="00936103"/>
    <w:rsid w:val="009433E3"/>
    <w:rsid w:val="0094422D"/>
    <w:rsid w:val="00950230"/>
    <w:rsid w:val="00954BA7"/>
    <w:rsid w:val="00963C1C"/>
    <w:rsid w:val="0096675E"/>
    <w:rsid w:val="00977F18"/>
    <w:rsid w:val="009910DE"/>
    <w:rsid w:val="009921FA"/>
    <w:rsid w:val="0099556A"/>
    <w:rsid w:val="009A476E"/>
    <w:rsid w:val="009A4FA3"/>
    <w:rsid w:val="009A54C7"/>
    <w:rsid w:val="009B378E"/>
    <w:rsid w:val="009B3E6E"/>
    <w:rsid w:val="009C31D2"/>
    <w:rsid w:val="009C60C7"/>
    <w:rsid w:val="009E3EBA"/>
    <w:rsid w:val="009E6F96"/>
    <w:rsid w:val="009E7181"/>
    <w:rsid w:val="009F3BCC"/>
    <w:rsid w:val="00A02D2A"/>
    <w:rsid w:val="00A03649"/>
    <w:rsid w:val="00A17B95"/>
    <w:rsid w:val="00A206DB"/>
    <w:rsid w:val="00A24A6C"/>
    <w:rsid w:val="00A26D5B"/>
    <w:rsid w:val="00A31081"/>
    <w:rsid w:val="00A37EA3"/>
    <w:rsid w:val="00A4036E"/>
    <w:rsid w:val="00A52160"/>
    <w:rsid w:val="00A52C13"/>
    <w:rsid w:val="00A52FFC"/>
    <w:rsid w:val="00A54EF4"/>
    <w:rsid w:val="00A676D8"/>
    <w:rsid w:val="00A80161"/>
    <w:rsid w:val="00A957C2"/>
    <w:rsid w:val="00A95C19"/>
    <w:rsid w:val="00AB6E29"/>
    <w:rsid w:val="00AC1CFE"/>
    <w:rsid w:val="00AD1557"/>
    <w:rsid w:val="00AD36D3"/>
    <w:rsid w:val="00AD4F77"/>
    <w:rsid w:val="00AE43F2"/>
    <w:rsid w:val="00AE6DD2"/>
    <w:rsid w:val="00B03321"/>
    <w:rsid w:val="00B13633"/>
    <w:rsid w:val="00B231CB"/>
    <w:rsid w:val="00B26E23"/>
    <w:rsid w:val="00B30032"/>
    <w:rsid w:val="00B32C09"/>
    <w:rsid w:val="00B45BD9"/>
    <w:rsid w:val="00B54912"/>
    <w:rsid w:val="00B578EC"/>
    <w:rsid w:val="00B61786"/>
    <w:rsid w:val="00B6425A"/>
    <w:rsid w:val="00B71882"/>
    <w:rsid w:val="00B76F3D"/>
    <w:rsid w:val="00B80BFE"/>
    <w:rsid w:val="00B85DF9"/>
    <w:rsid w:val="00B96D63"/>
    <w:rsid w:val="00B97A56"/>
    <w:rsid w:val="00BC23C7"/>
    <w:rsid w:val="00BC4DA3"/>
    <w:rsid w:val="00BC59B7"/>
    <w:rsid w:val="00BC626D"/>
    <w:rsid w:val="00BC64E6"/>
    <w:rsid w:val="00BD034D"/>
    <w:rsid w:val="00BD1532"/>
    <w:rsid w:val="00BD2E0D"/>
    <w:rsid w:val="00BD4482"/>
    <w:rsid w:val="00BD45B4"/>
    <w:rsid w:val="00BE371F"/>
    <w:rsid w:val="00BF356E"/>
    <w:rsid w:val="00BF38C5"/>
    <w:rsid w:val="00BF48B6"/>
    <w:rsid w:val="00BF75D8"/>
    <w:rsid w:val="00C00061"/>
    <w:rsid w:val="00C03F99"/>
    <w:rsid w:val="00C27C8B"/>
    <w:rsid w:val="00C307EF"/>
    <w:rsid w:val="00C320B1"/>
    <w:rsid w:val="00C425E5"/>
    <w:rsid w:val="00C42A5C"/>
    <w:rsid w:val="00C42AB6"/>
    <w:rsid w:val="00C44F5A"/>
    <w:rsid w:val="00C4712F"/>
    <w:rsid w:val="00C475C8"/>
    <w:rsid w:val="00C52EEB"/>
    <w:rsid w:val="00C532D3"/>
    <w:rsid w:val="00C568E4"/>
    <w:rsid w:val="00C63024"/>
    <w:rsid w:val="00C733A5"/>
    <w:rsid w:val="00C845A2"/>
    <w:rsid w:val="00C87209"/>
    <w:rsid w:val="00C87294"/>
    <w:rsid w:val="00C90C6F"/>
    <w:rsid w:val="00C91D63"/>
    <w:rsid w:val="00CA6A5D"/>
    <w:rsid w:val="00CB43A7"/>
    <w:rsid w:val="00CC0342"/>
    <w:rsid w:val="00CC2F04"/>
    <w:rsid w:val="00CD2168"/>
    <w:rsid w:val="00CF6BBB"/>
    <w:rsid w:val="00D0474D"/>
    <w:rsid w:val="00D103F5"/>
    <w:rsid w:val="00D21012"/>
    <w:rsid w:val="00D25180"/>
    <w:rsid w:val="00D27066"/>
    <w:rsid w:val="00D27C07"/>
    <w:rsid w:val="00D34459"/>
    <w:rsid w:val="00D47AEE"/>
    <w:rsid w:val="00D47B04"/>
    <w:rsid w:val="00D57594"/>
    <w:rsid w:val="00D6361B"/>
    <w:rsid w:val="00D6413E"/>
    <w:rsid w:val="00D87F6E"/>
    <w:rsid w:val="00D92B49"/>
    <w:rsid w:val="00D939A6"/>
    <w:rsid w:val="00DB0329"/>
    <w:rsid w:val="00DB4877"/>
    <w:rsid w:val="00DB77A7"/>
    <w:rsid w:val="00DD7CC9"/>
    <w:rsid w:val="00DE5AF0"/>
    <w:rsid w:val="00E10E90"/>
    <w:rsid w:val="00E14768"/>
    <w:rsid w:val="00E161F9"/>
    <w:rsid w:val="00E24EF6"/>
    <w:rsid w:val="00E362E4"/>
    <w:rsid w:val="00E52A28"/>
    <w:rsid w:val="00E60A56"/>
    <w:rsid w:val="00E62DC4"/>
    <w:rsid w:val="00E6389C"/>
    <w:rsid w:val="00E70493"/>
    <w:rsid w:val="00E76379"/>
    <w:rsid w:val="00E932DC"/>
    <w:rsid w:val="00EA2476"/>
    <w:rsid w:val="00EB30CB"/>
    <w:rsid w:val="00EC14D3"/>
    <w:rsid w:val="00EE4377"/>
    <w:rsid w:val="00EE7580"/>
    <w:rsid w:val="00EF3F7A"/>
    <w:rsid w:val="00EF65E7"/>
    <w:rsid w:val="00EF7BA0"/>
    <w:rsid w:val="00F01629"/>
    <w:rsid w:val="00F04E25"/>
    <w:rsid w:val="00F100A8"/>
    <w:rsid w:val="00F277BA"/>
    <w:rsid w:val="00F44404"/>
    <w:rsid w:val="00F5598B"/>
    <w:rsid w:val="00F618ED"/>
    <w:rsid w:val="00F70159"/>
    <w:rsid w:val="00F96B56"/>
    <w:rsid w:val="00F96E52"/>
    <w:rsid w:val="00FA2198"/>
    <w:rsid w:val="00FB17C3"/>
    <w:rsid w:val="00FB334C"/>
    <w:rsid w:val="00FB596D"/>
    <w:rsid w:val="00FB5F6B"/>
    <w:rsid w:val="00FC1191"/>
    <w:rsid w:val="00FC19F1"/>
    <w:rsid w:val="00FE6480"/>
    <w:rsid w:val="00FF39DA"/>
    <w:rsid w:val="00FF698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75524"/>
  <w15:chartTrackingRefBased/>
  <w15:docId w15:val="{5D501333-E1C5-41D9-AAE8-70CA69F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6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38C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38C5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605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54F1"/>
    <w:pPr>
      <w:widowControl w:val="0"/>
      <w:autoSpaceDE w:val="0"/>
      <w:autoSpaceDN w:val="0"/>
      <w:spacing w:after="0" w:line="240" w:lineRule="auto"/>
      <w:ind w:left="110"/>
    </w:pPr>
    <w:rPr>
      <w:rFonts w:ascii="Bookman Old Style" w:eastAsia="Bookman Old Style" w:hAnsi="Bookman Old Style" w:cs="Bookman Old Style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A06"/>
  </w:style>
  <w:style w:type="paragraph" w:styleId="Pidipagina">
    <w:name w:val="footer"/>
    <w:basedOn w:val="Normale"/>
    <w:link w:val="PidipaginaCarattere"/>
    <w:uiPriority w:val="99"/>
    <w:unhideWhenUsed/>
    <w:rsid w:val="00911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A06"/>
  </w:style>
  <w:style w:type="character" w:customStyle="1" w:styleId="xxcontentpasted1">
    <w:name w:val="x_x_contentpasted1"/>
    <w:basedOn w:val="Carpredefinitoparagrafo"/>
    <w:rsid w:val="0052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8EB6-BC31-4817-AFB7-3DD0CEC9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9677</Characters>
  <Application>Microsoft Office Word</Application>
  <DocSecurity>4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Dota</dc:creator>
  <cp:keywords/>
  <dc:description/>
  <cp:lastModifiedBy>Stefania Dota</cp:lastModifiedBy>
  <cp:revision>2</cp:revision>
  <dcterms:created xsi:type="dcterms:W3CDTF">2023-01-30T12:36:00Z</dcterms:created>
  <dcterms:modified xsi:type="dcterms:W3CDTF">2023-01-30T12:36:00Z</dcterms:modified>
</cp:coreProperties>
</file>