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F5D14" w14:textId="1C59E6BF" w:rsidR="00010FAE" w:rsidRDefault="00AB0248" w:rsidP="00010FAE">
      <w:pPr>
        <w:jc w:val="center"/>
        <w:rPr>
          <w:rFonts w:ascii="Bookman Old Style" w:hAnsi="Bookman Old Style"/>
        </w:rPr>
      </w:pPr>
      <w:r w:rsidRPr="006D2510">
        <w:rPr>
          <w:rFonts w:ascii="Bookman Old Style" w:hAnsi="Bookman Old Style"/>
          <w:noProof/>
        </w:rPr>
        <w:drawing>
          <wp:inline distT="0" distB="6350" distL="0" distR="6985" wp14:anchorId="3FF5E61C" wp14:editId="578986E7">
            <wp:extent cx="755015" cy="1098550"/>
            <wp:effectExtent l="0" t="0" r="0" b="0"/>
            <wp:docPr id="1" name="Picture 5" descr="logo an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descr="logo anci"/>
                    <pic:cNvPicPr>
                      <a:picLocks noChangeAspect="1" noChangeArrowheads="1"/>
                    </pic:cNvPicPr>
                  </pic:nvPicPr>
                  <pic:blipFill>
                    <a:blip r:embed="rId8"/>
                    <a:stretch>
                      <a:fillRect/>
                    </a:stretch>
                  </pic:blipFill>
                  <pic:spPr bwMode="auto">
                    <a:xfrm>
                      <a:off x="0" y="0"/>
                      <a:ext cx="755015" cy="1098550"/>
                    </a:xfrm>
                    <a:prstGeom prst="rect">
                      <a:avLst/>
                    </a:prstGeom>
                  </pic:spPr>
                </pic:pic>
              </a:graphicData>
            </a:graphic>
          </wp:inline>
        </w:drawing>
      </w:r>
    </w:p>
    <w:p w14:paraId="792CC26B" w14:textId="77777777" w:rsidR="00F46931" w:rsidRDefault="00F46931" w:rsidP="00F46931">
      <w:pPr>
        <w:rPr>
          <w:rFonts w:ascii="Bookman Old Style" w:hAnsi="Bookman Old Style"/>
          <w:b/>
          <w:bCs/>
          <w:i/>
          <w:iCs/>
        </w:rPr>
      </w:pPr>
    </w:p>
    <w:p w14:paraId="45E22D79" w14:textId="10F7455D" w:rsidR="00F46931" w:rsidRPr="00D6672B" w:rsidRDefault="00F46931" w:rsidP="00F46931">
      <w:pPr>
        <w:rPr>
          <w:rFonts w:ascii="Bookman Old Style" w:hAnsi="Bookman Old Style"/>
          <w:b/>
          <w:bCs/>
          <w:i/>
          <w:iCs/>
        </w:rPr>
      </w:pPr>
      <w:r w:rsidRPr="00D6672B">
        <w:rPr>
          <w:rFonts w:ascii="Bookman Old Style" w:hAnsi="Bookman Old Style"/>
          <w:b/>
          <w:bCs/>
          <w:i/>
          <w:iCs/>
        </w:rPr>
        <w:t xml:space="preserve">Roma </w:t>
      </w:r>
      <w:r>
        <w:rPr>
          <w:rFonts w:ascii="Bookman Old Style" w:hAnsi="Bookman Old Style"/>
          <w:b/>
          <w:bCs/>
          <w:i/>
          <w:iCs/>
        </w:rPr>
        <w:t>30</w:t>
      </w:r>
      <w:r w:rsidRPr="00D6672B">
        <w:rPr>
          <w:rFonts w:ascii="Bookman Old Style" w:hAnsi="Bookman Old Style"/>
          <w:b/>
          <w:bCs/>
          <w:i/>
          <w:iCs/>
        </w:rPr>
        <w:t xml:space="preserve"> settembre 2025</w:t>
      </w:r>
    </w:p>
    <w:p w14:paraId="12DACA9D" w14:textId="77777777" w:rsidR="00AB0248" w:rsidRDefault="00AB0248" w:rsidP="00010FAE">
      <w:pPr>
        <w:jc w:val="center"/>
        <w:rPr>
          <w:rFonts w:ascii="Bookman Old Style" w:hAnsi="Bookman Old Style"/>
        </w:rPr>
      </w:pPr>
    </w:p>
    <w:p w14:paraId="3CECDBB1" w14:textId="515B3437" w:rsidR="00010FAE" w:rsidRPr="00641A9B" w:rsidRDefault="00641A9B" w:rsidP="00010FAE">
      <w:pPr>
        <w:jc w:val="center"/>
        <w:rPr>
          <w:rFonts w:ascii="Bookman Old Style" w:hAnsi="Bookman Old Style"/>
          <w:b/>
          <w:bCs/>
        </w:rPr>
      </w:pPr>
      <w:r w:rsidRPr="00641A9B">
        <w:rPr>
          <w:rFonts w:ascii="Bookman Old Style" w:hAnsi="Bookman Old Style"/>
          <w:b/>
          <w:bCs/>
        </w:rPr>
        <w:t>Audizione ANCI</w:t>
      </w:r>
    </w:p>
    <w:p w14:paraId="630EDA6A" w14:textId="4DE06005" w:rsidR="0001661E" w:rsidRDefault="0001661E" w:rsidP="00010FAE">
      <w:pPr>
        <w:jc w:val="center"/>
        <w:rPr>
          <w:rFonts w:ascii="Bookman Old Style" w:hAnsi="Bookman Old Style"/>
          <w:b/>
          <w:bCs/>
        </w:rPr>
      </w:pPr>
      <w:r w:rsidRPr="0001661E">
        <w:rPr>
          <w:rFonts w:ascii="Bookman Old Style" w:hAnsi="Bookman Old Style"/>
          <w:b/>
          <w:bCs/>
        </w:rPr>
        <w:t>Interpretazione autentica del comma 649 dell’articolo 1 della legge</w:t>
      </w:r>
      <w:r w:rsidR="00010FAE" w:rsidRPr="00287031">
        <w:rPr>
          <w:rFonts w:ascii="Bookman Old Style" w:hAnsi="Bookman Old Style"/>
          <w:b/>
          <w:bCs/>
        </w:rPr>
        <w:t xml:space="preserve"> </w:t>
      </w:r>
      <w:r w:rsidRPr="0001661E">
        <w:rPr>
          <w:rFonts w:ascii="Bookman Old Style" w:hAnsi="Bookman Old Style"/>
          <w:b/>
          <w:bCs/>
        </w:rPr>
        <w:t>27 dicembre 2013, n. 147, in materia di applicabilità della quota</w:t>
      </w:r>
      <w:r w:rsidR="00010FAE" w:rsidRPr="00287031">
        <w:rPr>
          <w:rFonts w:ascii="Bookman Old Style" w:hAnsi="Bookman Old Style"/>
          <w:b/>
          <w:bCs/>
        </w:rPr>
        <w:t xml:space="preserve"> </w:t>
      </w:r>
      <w:r w:rsidRPr="00287031">
        <w:rPr>
          <w:rFonts w:ascii="Bookman Old Style" w:hAnsi="Bookman Old Style"/>
          <w:b/>
          <w:bCs/>
        </w:rPr>
        <w:t>fissa della tassa sui rifiuti alle aree produttive di rifiuti speciali</w:t>
      </w:r>
    </w:p>
    <w:p w14:paraId="187873D9" w14:textId="77777777" w:rsidR="00641A9B" w:rsidRDefault="00641A9B" w:rsidP="00010FAE">
      <w:pPr>
        <w:jc w:val="center"/>
        <w:rPr>
          <w:rFonts w:ascii="Bookman Old Style" w:hAnsi="Bookman Old Style"/>
          <w:b/>
          <w:bCs/>
        </w:rPr>
      </w:pPr>
    </w:p>
    <w:sdt>
      <w:sdtPr>
        <w:rPr>
          <w:rFonts w:asciiTheme="minorHAnsi" w:eastAsiaTheme="minorHAnsi" w:hAnsiTheme="minorHAnsi" w:cstheme="minorBidi"/>
          <w:color w:val="auto"/>
          <w:kern w:val="2"/>
          <w:sz w:val="22"/>
          <w:szCs w:val="22"/>
          <w:lang w:eastAsia="en-US"/>
          <w14:ligatures w14:val="standardContextual"/>
        </w:rPr>
        <w:id w:val="-2023081990"/>
        <w:docPartObj>
          <w:docPartGallery w:val="Table of Contents"/>
          <w:docPartUnique/>
        </w:docPartObj>
      </w:sdtPr>
      <w:sdtEndPr>
        <w:rPr>
          <w:b/>
          <w:bCs/>
        </w:rPr>
      </w:sdtEndPr>
      <w:sdtContent>
        <w:p w14:paraId="0914D780" w14:textId="5D326710" w:rsidR="00D6672B" w:rsidRDefault="00D6672B">
          <w:pPr>
            <w:pStyle w:val="Titolosommario"/>
          </w:pPr>
        </w:p>
        <w:p w14:paraId="3CEE806D" w14:textId="1698C512" w:rsidR="00D6672B" w:rsidRDefault="00D6672B">
          <w:pPr>
            <w:pStyle w:val="Sommario2"/>
            <w:tabs>
              <w:tab w:val="right" w:leader="dot" w:pos="9628"/>
            </w:tabs>
            <w:rPr>
              <w:noProof/>
            </w:rPr>
          </w:pPr>
          <w:r>
            <w:fldChar w:fldCharType="begin"/>
          </w:r>
          <w:r>
            <w:instrText xml:space="preserve"> TOC \o "1-3" \h \z \u </w:instrText>
          </w:r>
          <w:r>
            <w:fldChar w:fldCharType="separate"/>
          </w:r>
          <w:hyperlink w:anchor="_Toc209467048" w:history="1">
            <w:r w:rsidRPr="00654247">
              <w:rPr>
                <w:rStyle w:val="Collegamentoipertestuale"/>
                <w:rFonts w:ascii="Bookman Old Style" w:hAnsi="Bookman Old Style"/>
                <w:b/>
                <w:bCs/>
                <w:noProof/>
              </w:rPr>
              <w:t>Premessa</w:t>
            </w:r>
            <w:r>
              <w:rPr>
                <w:noProof/>
                <w:webHidden/>
              </w:rPr>
              <w:tab/>
            </w:r>
            <w:r>
              <w:rPr>
                <w:noProof/>
                <w:webHidden/>
              </w:rPr>
              <w:fldChar w:fldCharType="begin"/>
            </w:r>
            <w:r>
              <w:rPr>
                <w:noProof/>
                <w:webHidden/>
              </w:rPr>
              <w:instrText xml:space="preserve"> PAGEREF _Toc209467048 \h </w:instrText>
            </w:r>
            <w:r>
              <w:rPr>
                <w:noProof/>
                <w:webHidden/>
              </w:rPr>
            </w:r>
            <w:r>
              <w:rPr>
                <w:noProof/>
                <w:webHidden/>
              </w:rPr>
              <w:fldChar w:fldCharType="separate"/>
            </w:r>
            <w:r w:rsidR="005F107B">
              <w:rPr>
                <w:noProof/>
                <w:webHidden/>
              </w:rPr>
              <w:t>1</w:t>
            </w:r>
            <w:r>
              <w:rPr>
                <w:noProof/>
                <w:webHidden/>
              </w:rPr>
              <w:fldChar w:fldCharType="end"/>
            </w:r>
          </w:hyperlink>
        </w:p>
        <w:p w14:paraId="24C1A506" w14:textId="2DB7155A" w:rsidR="00D6672B" w:rsidRDefault="00D6672B">
          <w:pPr>
            <w:pStyle w:val="Sommario2"/>
            <w:tabs>
              <w:tab w:val="right" w:leader="dot" w:pos="9628"/>
            </w:tabs>
            <w:rPr>
              <w:noProof/>
            </w:rPr>
          </w:pPr>
          <w:hyperlink w:anchor="_Toc209467049" w:history="1">
            <w:r w:rsidRPr="00654247">
              <w:rPr>
                <w:rStyle w:val="Collegamentoipertestuale"/>
                <w:rFonts w:ascii="Bookman Old Style" w:hAnsi="Bookman Old Style"/>
                <w:b/>
                <w:bCs/>
                <w:noProof/>
              </w:rPr>
              <w:t>I contenuti della Proposta di legge</w:t>
            </w:r>
            <w:r>
              <w:rPr>
                <w:noProof/>
                <w:webHidden/>
              </w:rPr>
              <w:tab/>
            </w:r>
            <w:r>
              <w:rPr>
                <w:noProof/>
                <w:webHidden/>
              </w:rPr>
              <w:fldChar w:fldCharType="begin"/>
            </w:r>
            <w:r>
              <w:rPr>
                <w:noProof/>
                <w:webHidden/>
              </w:rPr>
              <w:instrText xml:space="preserve"> PAGEREF _Toc209467049 \h </w:instrText>
            </w:r>
            <w:r>
              <w:rPr>
                <w:noProof/>
                <w:webHidden/>
              </w:rPr>
            </w:r>
            <w:r>
              <w:rPr>
                <w:noProof/>
                <w:webHidden/>
              </w:rPr>
              <w:fldChar w:fldCharType="separate"/>
            </w:r>
            <w:r w:rsidR="005F107B">
              <w:rPr>
                <w:noProof/>
                <w:webHidden/>
              </w:rPr>
              <w:t>4</w:t>
            </w:r>
            <w:r>
              <w:rPr>
                <w:noProof/>
                <w:webHidden/>
              </w:rPr>
              <w:fldChar w:fldCharType="end"/>
            </w:r>
          </w:hyperlink>
        </w:p>
        <w:p w14:paraId="33E49F56" w14:textId="2CF9E038" w:rsidR="00D6672B" w:rsidRDefault="00D6672B">
          <w:pPr>
            <w:pStyle w:val="Sommario2"/>
            <w:tabs>
              <w:tab w:val="right" w:leader="dot" w:pos="9628"/>
            </w:tabs>
            <w:rPr>
              <w:noProof/>
            </w:rPr>
          </w:pPr>
          <w:hyperlink w:anchor="_Toc209467050" w:history="1">
            <w:r w:rsidRPr="00654247">
              <w:rPr>
                <w:rStyle w:val="Collegamentoipertestuale"/>
                <w:rFonts w:ascii="Bookman Old Style" w:hAnsi="Bookman Old Style"/>
                <w:b/>
                <w:bCs/>
                <w:noProof/>
              </w:rPr>
              <w:t>Mancanza di copertura finanziaria</w:t>
            </w:r>
            <w:r>
              <w:rPr>
                <w:noProof/>
                <w:webHidden/>
              </w:rPr>
              <w:tab/>
            </w:r>
            <w:r>
              <w:rPr>
                <w:noProof/>
                <w:webHidden/>
              </w:rPr>
              <w:fldChar w:fldCharType="begin"/>
            </w:r>
            <w:r>
              <w:rPr>
                <w:noProof/>
                <w:webHidden/>
              </w:rPr>
              <w:instrText xml:space="preserve"> PAGEREF _Toc209467050 \h </w:instrText>
            </w:r>
            <w:r>
              <w:rPr>
                <w:noProof/>
                <w:webHidden/>
              </w:rPr>
            </w:r>
            <w:r>
              <w:rPr>
                <w:noProof/>
                <w:webHidden/>
              </w:rPr>
              <w:fldChar w:fldCharType="separate"/>
            </w:r>
            <w:r w:rsidR="005F107B">
              <w:rPr>
                <w:noProof/>
                <w:webHidden/>
              </w:rPr>
              <w:t>6</w:t>
            </w:r>
            <w:r>
              <w:rPr>
                <w:noProof/>
                <w:webHidden/>
              </w:rPr>
              <w:fldChar w:fldCharType="end"/>
            </w:r>
          </w:hyperlink>
        </w:p>
        <w:p w14:paraId="64C17D02" w14:textId="758E985C" w:rsidR="00D6672B" w:rsidRDefault="00D6672B">
          <w:pPr>
            <w:pStyle w:val="Sommario2"/>
            <w:tabs>
              <w:tab w:val="right" w:leader="dot" w:pos="9628"/>
            </w:tabs>
            <w:rPr>
              <w:noProof/>
            </w:rPr>
          </w:pPr>
          <w:hyperlink w:anchor="_Toc209467051" w:history="1">
            <w:r w:rsidRPr="00654247">
              <w:rPr>
                <w:rStyle w:val="Collegamentoipertestuale"/>
                <w:rFonts w:ascii="Bookman Old Style" w:hAnsi="Bookman Old Style"/>
                <w:b/>
                <w:bCs/>
                <w:noProof/>
              </w:rPr>
              <w:t>Esclusione dei magazzini dalla base imponibile TARI</w:t>
            </w:r>
            <w:r>
              <w:rPr>
                <w:noProof/>
                <w:webHidden/>
              </w:rPr>
              <w:tab/>
            </w:r>
            <w:r>
              <w:rPr>
                <w:noProof/>
                <w:webHidden/>
              </w:rPr>
              <w:fldChar w:fldCharType="begin"/>
            </w:r>
            <w:r>
              <w:rPr>
                <w:noProof/>
                <w:webHidden/>
              </w:rPr>
              <w:instrText xml:space="preserve"> PAGEREF _Toc209467051 \h </w:instrText>
            </w:r>
            <w:r>
              <w:rPr>
                <w:noProof/>
                <w:webHidden/>
              </w:rPr>
            </w:r>
            <w:r>
              <w:rPr>
                <w:noProof/>
                <w:webHidden/>
              </w:rPr>
              <w:fldChar w:fldCharType="separate"/>
            </w:r>
            <w:r w:rsidR="005F107B">
              <w:rPr>
                <w:noProof/>
                <w:webHidden/>
              </w:rPr>
              <w:t>7</w:t>
            </w:r>
            <w:r>
              <w:rPr>
                <w:noProof/>
                <w:webHidden/>
              </w:rPr>
              <w:fldChar w:fldCharType="end"/>
            </w:r>
          </w:hyperlink>
        </w:p>
        <w:p w14:paraId="6DE59C9A" w14:textId="5B560F1B" w:rsidR="00D6672B" w:rsidRDefault="00D6672B">
          <w:pPr>
            <w:pStyle w:val="Sommario2"/>
            <w:tabs>
              <w:tab w:val="right" w:leader="dot" w:pos="9628"/>
            </w:tabs>
            <w:rPr>
              <w:noProof/>
            </w:rPr>
          </w:pPr>
          <w:hyperlink w:anchor="_Toc209467052" w:history="1">
            <w:r w:rsidRPr="00654247">
              <w:rPr>
                <w:rStyle w:val="Collegamentoipertestuale"/>
                <w:rFonts w:ascii="Bookman Old Style" w:hAnsi="Bookman Old Style"/>
                <w:b/>
                <w:bCs/>
                <w:noProof/>
              </w:rPr>
              <w:t>Efficacia retroattiva</w:t>
            </w:r>
            <w:r>
              <w:rPr>
                <w:noProof/>
                <w:webHidden/>
              </w:rPr>
              <w:tab/>
            </w:r>
            <w:r>
              <w:rPr>
                <w:noProof/>
                <w:webHidden/>
              </w:rPr>
              <w:fldChar w:fldCharType="begin"/>
            </w:r>
            <w:r>
              <w:rPr>
                <w:noProof/>
                <w:webHidden/>
              </w:rPr>
              <w:instrText xml:space="preserve"> PAGEREF _Toc209467052 \h </w:instrText>
            </w:r>
            <w:r>
              <w:rPr>
                <w:noProof/>
                <w:webHidden/>
              </w:rPr>
            </w:r>
            <w:r>
              <w:rPr>
                <w:noProof/>
                <w:webHidden/>
              </w:rPr>
              <w:fldChar w:fldCharType="separate"/>
            </w:r>
            <w:r w:rsidR="005F107B">
              <w:rPr>
                <w:noProof/>
                <w:webHidden/>
              </w:rPr>
              <w:t>9</w:t>
            </w:r>
            <w:r>
              <w:rPr>
                <w:noProof/>
                <w:webHidden/>
              </w:rPr>
              <w:fldChar w:fldCharType="end"/>
            </w:r>
          </w:hyperlink>
        </w:p>
        <w:p w14:paraId="1CB5A8D9" w14:textId="7A4119F9" w:rsidR="00D6672B" w:rsidRDefault="00D6672B">
          <w:pPr>
            <w:pStyle w:val="Sommario2"/>
            <w:tabs>
              <w:tab w:val="right" w:leader="dot" w:pos="9628"/>
            </w:tabs>
            <w:rPr>
              <w:noProof/>
            </w:rPr>
          </w:pPr>
          <w:hyperlink w:anchor="_Toc209467053" w:history="1">
            <w:r w:rsidRPr="00654247">
              <w:rPr>
                <w:rStyle w:val="Collegamentoipertestuale"/>
                <w:rFonts w:ascii="Bookman Old Style" w:hAnsi="Bookman Old Style"/>
                <w:b/>
                <w:bCs/>
                <w:noProof/>
              </w:rPr>
              <w:t>La bozza di decreto legislativo di attuazione dell’art.14 della delega fiscale</w:t>
            </w:r>
            <w:r>
              <w:rPr>
                <w:noProof/>
                <w:webHidden/>
              </w:rPr>
              <w:tab/>
            </w:r>
            <w:r>
              <w:rPr>
                <w:noProof/>
                <w:webHidden/>
              </w:rPr>
              <w:fldChar w:fldCharType="begin"/>
            </w:r>
            <w:r>
              <w:rPr>
                <w:noProof/>
                <w:webHidden/>
              </w:rPr>
              <w:instrText xml:space="preserve"> PAGEREF _Toc209467053 \h </w:instrText>
            </w:r>
            <w:r>
              <w:rPr>
                <w:noProof/>
                <w:webHidden/>
              </w:rPr>
            </w:r>
            <w:r>
              <w:rPr>
                <w:noProof/>
                <w:webHidden/>
              </w:rPr>
              <w:fldChar w:fldCharType="separate"/>
            </w:r>
            <w:r w:rsidR="005F107B">
              <w:rPr>
                <w:noProof/>
                <w:webHidden/>
              </w:rPr>
              <w:t>10</w:t>
            </w:r>
            <w:r>
              <w:rPr>
                <w:noProof/>
                <w:webHidden/>
              </w:rPr>
              <w:fldChar w:fldCharType="end"/>
            </w:r>
          </w:hyperlink>
        </w:p>
        <w:p w14:paraId="001B4BB3" w14:textId="1C5A0963" w:rsidR="00D6672B" w:rsidRDefault="00D6672B">
          <w:pPr>
            <w:pStyle w:val="Sommario2"/>
            <w:tabs>
              <w:tab w:val="right" w:leader="dot" w:pos="9628"/>
            </w:tabs>
            <w:rPr>
              <w:noProof/>
            </w:rPr>
          </w:pPr>
          <w:hyperlink w:anchor="_Toc209467054" w:history="1">
            <w:r w:rsidRPr="00654247">
              <w:rPr>
                <w:rStyle w:val="Collegamentoipertestuale"/>
                <w:rFonts w:ascii="Bookman Old Style" w:hAnsi="Bookman Old Style"/>
                <w:b/>
                <w:bCs/>
                <w:noProof/>
              </w:rPr>
              <w:t>Conclusioni</w:t>
            </w:r>
            <w:r>
              <w:rPr>
                <w:noProof/>
                <w:webHidden/>
              </w:rPr>
              <w:tab/>
            </w:r>
            <w:r>
              <w:rPr>
                <w:noProof/>
                <w:webHidden/>
              </w:rPr>
              <w:fldChar w:fldCharType="begin"/>
            </w:r>
            <w:r>
              <w:rPr>
                <w:noProof/>
                <w:webHidden/>
              </w:rPr>
              <w:instrText xml:space="preserve"> PAGEREF _Toc209467054 \h </w:instrText>
            </w:r>
            <w:r>
              <w:rPr>
                <w:noProof/>
                <w:webHidden/>
              </w:rPr>
            </w:r>
            <w:r>
              <w:rPr>
                <w:noProof/>
                <w:webHidden/>
              </w:rPr>
              <w:fldChar w:fldCharType="separate"/>
            </w:r>
            <w:r w:rsidR="005F107B">
              <w:rPr>
                <w:noProof/>
                <w:webHidden/>
              </w:rPr>
              <w:t>11</w:t>
            </w:r>
            <w:r>
              <w:rPr>
                <w:noProof/>
                <w:webHidden/>
              </w:rPr>
              <w:fldChar w:fldCharType="end"/>
            </w:r>
          </w:hyperlink>
        </w:p>
        <w:p w14:paraId="7F9BF481" w14:textId="5CAA4158" w:rsidR="00D6672B" w:rsidRDefault="00D6672B">
          <w:r>
            <w:rPr>
              <w:b/>
              <w:bCs/>
            </w:rPr>
            <w:fldChar w:fldCharType="end"/>
          </w:r>
        </w:p>
      </w:sdtContent>
    </w:sdt>
    <w:p w14:paraId="6472B0A7" w14:textId="77777777" w:rsidR="008C3128" w:rsidRDefault="008C3128" w:rsidP="00FB3D8C">
      <w:pPr>
        <w:rPr>
          <w:rFonts w:ascii="Bookman Old Style" w:hAnsi="Bookman Old Style"/>
          <w:b/>
          <w:bCs/>
        </w:rPr>
      </w:pPr>
    </w:p>
    <w:p w14:paraId="5DE854F4" w14:textId="004B5118" w:rsidR="005C3F22" w:rsidRPr="001B5E96" w:rsidRDefault="005C3F22" w:rsidP="001B5E96">
      <w:pPr>
        <w:pStyle w:val="Titolo2"/>
        <w:rPr>
          <w:rFonts w:ascii="Bookman Old Style" w:hAnsi="Bookman Old Style"/>
          <w:b/>
          <w:bCs/>
          <w:sz w:val="22"/>
          <w:szCs w:val="22"/>
        </w:rPr>
      </w:pPr>
      <w:bookmarkStart w:id="0" w:name="_Toc209467048"/>
      <w:r w:rsidRPr="001B5E96">
        <w:rPr>
          <w:rFonts w:ascii="Bookman Old Style" w:hAnsi="Bookman Old Style"/>
          <w:b/>
          <w:bCs/>
          <w:sz w:val="22"/>
          <w:szCs w:val="22"/>
        </w:rPr>
        <w:t>Premessa</w:t>
      </w:r>
      <w:bookmarkEnd w:id="0"/>
    </w:p>
    <w:p w14:paraId="213C325C" w14:textId="3EDA236A" w:rsidR="0001661E" w:rsidRDefault="00133DA1" w:rsidP="000D2090">
      <w:pPr>
        <w:jc w:val="both"/>
        <w:rPr>
          <w:rFonts w:ascii="Bookman Old Style" w:hAnsi="Bookman Old Style"/>
        </w:rPr>
      </w:pPr>
      <w:r>
        <w:rPr>
          <w:rFonts w:ascii="Bookman Old Style" w:hAnsi="Bookman Old Style"/>
        </w:rPr>
        <w:t xml:space="preserve">La Proposta di legge </w:t>
      </w:r>
      <w:r w:rsidR="00EC154C">
        <w:rPr>
          <w:rFonts w:ascii="Bookman Old Style" w:hAnsi="Bookman Old Style"/>
        </w:rPr>
        <w:t xml:space="preserve">in esame </w:t>
      </w:r>
      <w:r w:rsidR="00F0662A">
        <w:rPr>
          <w:rFonts w:ascii="Bookman Old Style" w:hAnsi="Bookman Old Style"/>
        </w:rPr>
        <w:t>reca</w:t>
      </w:r>
      <w:r w:rsidR="009340C2">
        <w:rPr>
          <w:rFonts w:ascii="Bookman Old Style" w:hAnsi="Bookman Old Style"/>
        </w:rPr>
        <w:t xml:space="preserve"> un’interpretazio</w:t>
      </w:r>
      <w:r w:rsidR="0044769C">
        <w:rPr>
          <w:rFonts w:ascii="Bookman Old Style" w:hAnsi="Bookman Old Style"/>
        </w:rPr>
        <w:t>ne</w:t>
      </w:r>
      <w:r w:rsidR="009340C2">
        <w:rPr>
          <w:rFonts w:ascii="Bookman Old Style" w:hAnsi="Bookman Old Style"/>
        </w:rPr>
        <w:t xml:space="preserve"> autentica </w:t>
      </w:r>
      <w:r w:rsidR="001812C8">
        <w:rPr>
          <w:rFonts w:ascii="Bookman Old Style" w:hAnsi="Bookman Old Style"/>
        </w:rPr>
        <w:t xml:space="preserve">che </w:t>
      </w:r>
      <w:r w:rsidR="00755FA1">
        <w:rPr>
          <w:rFonts w:ascii="Bookman Old Style" w:hAnsi="Bookman Old Style"/>
        </w:rPr>
        <w:t>modifica profondamente la</w:t>
      </w:r>
      <w:r w:rsidR="00E57760">
        <w:rPr>
          <w:rFonts w:ascii="Bookman Old Style" w:hAnsi="Bookman Old Style"/>
        </w:rPr>
        <w:t xml:space="preserve"> disposizione </w:t>
      </w:r>
      <w:r w:rsidR="00F05406">
        <w:rPr>
          <w:rFonts w:ascii="Bookman Old Style" w:hAnsi="Bookman Old Style"/>
        </w:rPr>
        <w:t>che</w:t>
      </w:r>
      <w:r w:rsidR="00623352">
        <w:rPr>
          <w:rFonts w:ascii="Bookman Old Style" w:hAnsi="Bookman Old Style"/>
        </w:rPr>
        <w:t xml:space="preserve">, ad oggi, </w:t>
      </w:r>
      <w:r w:rsidR="005722C8">
        <w:rPr>
          <w:rFonts w:ascii="Bookman Old Style" w:hAnsi="Bookman Old Style"/>
        </w:rPr>
        <w:t>prevede</w:t>
      </w:r>
      <w:r w:rsidR="00F05406" w:rsidRPr="009B5ED3">
        <w:rPr>
          <w:rFonts w:ascii="Bookman Old Style" w:hAnsi="Bookman Old Style"/>
        </w:rPr>
        <w:t xml:space="preserve"> </w:t>
      </w:r>
      <w:r w:rsidR="00F05406" w:rsidRPr="009B5ED3">
        <w:rPr>
          <w:rFonts w:ascii="Bookman Old Style" w:hAnsi="Bookman Old Style"/>
          <w:b/>
          <w:bCs/>
        </w:rPr>
        <w:t xml:space="preserve">l'esclusione </w:t>
      </w:r>
      <w:r w:rsidR="009F5A3F" w:rsidRPr="009B5ED3">
        <w:rPr>
          <w:rFonts w:ascii="Bookman Old Style" w:hAnsi="Bookman Old Style"/>
        </w:rPr>
        <w:t>dalla superficie assoggettabile al</w:t>
      </w:r>
      <w:r w:rsidR="009F5A3F">
        <w:rPr>
          <w:rFonts w:ascii="Bookman Old Style" w:hAnsi="Bookman Old Style"/>
        </w:rPr>
        <w:t xml:space="preserve"> prelievo sui rifiuti,</w:t>
      </w:r>
      <w:r w:rsidR="009F5A3F" w:rsidRPr="009B5ED3">
        <w:rPr>
          <w:rFonts w:ascii="Bookman Old Style" w:hAnsi="Bookman Old Style"/>
        </w:rPr>
        <w:t xml:space="preserve"> </w:t>
      </w:r>
      <w:r w:rsidR="00055917" w:rsidRPr="009B5ED3">
        <w:rPr>
          <w:rFonts w:ascii="Bookman Old Style" w:hAnsi="Bookman Old Style"/>
        </w:rPr>
        <w:t xml:space="preserve">delle </w:t>
      </w:r>
      <w:r w:rsidR="00055917" w:rsidRPr="009B5ED3">
        <w:rPr>
          <w:rFonts w:ascii="Bookman Old Style" w:hAnsi="Bookman Old Style"/>
          <w:b/>
          <w:bCs/>
        </w:rPr>
        <w:t>aree ove si formano</w:t>
      </w:r>
      <w:r w:rsidR="00055917" w:rsidRPr="009B5ED3">
        <w:rPr>
          <w:rFonts w:ascii="Bookman Old Style" w:hAnsi="Bookman Old Style"/>
        </w:rPr>
        <w:t xml:space="preserve">, </w:t>
      </w:r>
      <w:r w:rsidR="00055917" w:rsidRPr="009B5ED3">
        <w:rPr>
          <w:rFonts w:ascii="Bookman Old Style" w:hAnsi="Bookman Old Style"/>
          <w:b/>
          <w:bCs/>
        </w:rPr>
        <w:t>in via continuativa e prevalente, rifiuti speciali</w:t>
      </w:r>
      <w:r w:rsidR="00151150">
        <w:rPr>
          <w:rFonts w:ascii="Bookman Old Style" w:hAnsi="Bookman Old Style"/>
        </w:rPr>
        <w:t xml:space="preserve">, </w:t>
      </w:r>
      <w:r w:rsidR="00F05406" w:rsidRPr="009B5ED3">
        <w:rPr>
          <w:rFonts w:ascii="Bookman Old Style" w:hAnsi="Bookman Old Style"/>
        </w:rPr>
        <w:t>sempre che i produttori</w:t>
      </w:r>
      <w:r w:rsidR="00F05406">
        <w:rPr>
          <w:rFonts w:ascii="Bookman Old Style" w:hAnsi="Bookman Old Style"/>
        </w:rPr>
        <w:t xml:space="preserve"> </w:t>
      </w:r>
      <w:r w:rsidR="00F05406" w:rsidRPr="009B5ED3">
        <w:rPr>
          <w:rFonts w:ascii="Bookman Old Style" w:hAnsi="Bookman Old Style"/>
        </w:rPr>
        <w:t xml:space="preserve">dimostrino </w:t>
      </w:r>
      <w:r w:rsidR="00EC2737">
        <w:rPr>
          <w:rFonts w:ascii="Bookman Old Style" w:hAnsi="Bookman Old Style"/>
        </w:rPr>
        <w:t>di aver</w:t>
      </w:r>
      <w:r w:rsidR="00225915">
        <w:rPr>
          <w:rFonts w:ascii="Bookman Old Style" w:hAnsi="Bookman Old Style"/>
        </w:rPr>
        <w:t>li</w:t>
      </w:r>
      <w:r w:rsidR="00EC2737">
        <w:rPr>
          <w:rFonts w:ascii="Bookman Old Style" w:hAnsi="Bookman Old Style"/>
        </w:rPr>
        <w:t xml:space="preserve"> avviat</w:t>
      </w:r>
      <w:r w:rsidR="00225915">
        <w:rPr>
          <w:rFonts w:ascii="Bookman Old Style" w:hAnsi="Bookman Old Style"/>
        </w:rPr>
        <w:t>i</w:t>
      </w:r>
      <w:r w:rsidR="00EC2737">
        <w:rPr>
          <w:rFonts w:ascii="Bookman Old Style" w:hAnsi="Bookman Old Style"/>
        </w:rPr>
        <w:t xml:space="preserve"> a recupero</w:t>
      </w:r>
      <w:r w:rsidR="00F05406" w:rsidRPr="009B5ED3">
        <w:rPr>
          <w:rFonts w:ascii="Bookman Old Style" w:hAnsi="Bookman Old Style"/>
        </w:rPr>
        <w:t xml:space="preserve">. </w:t>
      </w:r>
      <w:r w:rsidR="00B67889">
        <w:rPr>
          <w:rFonts w:ascii="Bookman Old Style" w:hAnsi="Bookman Old Style"/>
        </w:rPr>
        <w:t>La stessa norma</w:t>
      </w:r>
      <w:r w:rsidR="00EC0733">
        <w:rPr>
          <w:rFonts w:ascii="Bookman Old Style" w:hAnsi="Bookman Old Style"/>
        </w:rPr>
        <w:t xml:space="preserve"> </w:t>
      </w:r>
      <w:r w:rsidR="00C06110">
        <w:rPr>
          <w:rFonts w:ascii="Bookman Old Style" w:hAnsi="Bookman Old Style"/>
        </w:rPr>
        <w:t>affida</w:t>
      </w:r>
      <w:r w:rsidR="00B67889">
        <w:rPr>
          <w:rFonts w:ascii="Bookman Old Style" w:hAnsi="Bookman Old Style"/>
        </w:rPr>
        <w:t xml:space="preserve"> </w:t>
      </w:r>
      <w:r w:rsidR="00C06110">
        <w:rPr>
          <w:rFonts w:ascii="Bookman Old Style" w:hAnsi="Bookman Old Style"/>
        </w:rPr>
        <w:t>oggi ai Comuni</w:t>
      </w:r>
      <w:r w:rsidR="00B812A0">
        <w:rPr>
          <w:rFonts w:ascii="Bookman Old Style" w:hAnsi="Bookman Old Style"/>
        </w:rPr>
        <w:t xml:space="preserve"> il compito di </w:t>
      </w:r>
      <w:r w:rsidR="00B812A0" w:rsidRPr="009B5ED3">
        <w:rPr>
          <w:rFonts w:ascii="Bookman Old Style" w:hAnsi="Bookman Old Style"/>
          <w:b/>
          <w:bCs/>
        </w:rPr>
        <w:t>individua</w:t>
      </w:r>
      <w:r w:rsidR="00A24F79">
        <w:rPr>
          <w:rFonts w:ascii="Bookman Old Style" w:hAnsi="Bookman Old Style"/>
          <w:b/>
          <w:bCs/>
        </w:rPr>
        <w:t>re</w:t>
      </w:r>
      <w:r w:rsidR="00F05406" w:rsidRPr="009B5ED3">
        <w:rPr>
          <w:rFonts w:ascii="Bookman Old Style" w:hAnsi="Bookman Old Style"/>
        </w:rPr>
        <w:t xml:space="preserve">, con </w:t>
      </w:r>
      <w:r w:rsidR="00F05406" w:rsidRPr="009B5ED3">
        <w:rPr>
          <w:rFonts w:ascii="Bookman Old Style" w:hAnsi="Bookman Old Style"/>
          <w:b/>
          <w:bCs/>
        </w:rPr>
        <w:t>regolamento</w:t>
      </w:r>
      <w:r w:rsidR="00F05406" w:rsidRPr="009B5ED3">
        <w:rPr>
          <w:rFonts w:ascii="Bookman Old Style" w:hAnsi="Bookman Old Style"/>
        </w:rPr>
        <w:t xml:space="preserve">, le </w:t>
      </w:r>
      <w:r w:rsidR="00F05406" w:rsidRPr="009B5ED3">
        <w:rPr>
          <w:rFonts w:ascii="Bookman Old Style" w:hAnsi="Bookman Old Style"/>
          <w:b/>
          <w:bCs/>
        </w:rPr>
        <w:t xml:space="preserve">aree </w:t>
      </w:r>
      <w:r w:rsidR="00F05406" w:rsidRPr="009B5ED3">
        <w:rPr>
          <w:rFonts w:ascii="Bookman Old Style" w:hAnsi="Bookman Old Style"/>
        </w:rPr>
        <w:t xml:space="preserve">di </w:t>
      </w:r>
      <w:r w:rsidR="00F05406" w:rsidRPr="009B5ED3">
        <w:rPr>
          <w:rFonts w:ascii="Bookman Old Style" w:hAnsi="Bookman Old Style"/>
          <w:b/>
          <w:bCs/>
        </w:rPr>
        <w:t>produzione di</w:t>
      </w:r>
      <w:r w:rsidR="00F05406">
        <w:rPr>
          <w:rFonts w:ascii="Bookman Old Style" w:hAnsi="Bookman Old Style"/>
          <w:b/>
          <w:bCs/>
        </w:rPr>
        <w:t xml:space="preserve"> </w:t>
      </w:r>
      <w:r w:rsidR="00F05406" w:rsidRPr="009B5ED3">
        <w:rPr>
          <w:rFonts w:ascii="Bookman Old Style" w:hAnsi="Bookman Old Style"/>
          <w:b/>
          <w:bCs/>
        </w:rPr>
        <w:t>rifiuti speciali non assimilabili</w:t>
      </w:r>
      <w:r w:rsidR="00F05406" w:rsidRPr="009B5ED3">
        <w:rPr>
          <w:rFonts w:ascii="Bookman Old Style" w:hAnsi="Bookman Old Style"/>
        </w:rPr>
        <w:t>, nonch</w:t>
      </w:r>
      <w:r w:rsidR="00F05406" w:rsidRPr="009B5ED3">
        <w:rPr>
          <w:rFonts w:ascii="Bookman Old Style" w:hAnsi="Bookman Old Style" w:hint="cs"/>
        </w:rPr>
        <w:t>é</w:t>
      </w:r>
      <w:r w:rsidR="00F05406" w:rsidRPr="009B5ED3">
        <w:rPr>
          <w:rFonts w:ascii="Bookman Old Style" w:hAnsi="Bookman Old Style"/>
        </w:rPr>
        <w:t xml:space="preserve"> "i magazzini di materie prime e di merci funzionalmente ed</w:t>
      </w:r>
      <w:r w:rsidR="00F05406">
        <w:rPr>
          <w:rFonts w:ascii="Bookman Old Style" w:hAnsi="Bookman Old Style"/>
        </w:rPr>
        <w:t xml:space="preserve"> </w:t>
      </w:r>
      <w:r w:rsidR="00F05406" w:rsidRPr="009B5ED3">
        <w:rPr>
          <w:rFonts w:ascii="Bookman Old Style" w:hAnsi="Bookman Old Style"/>
        </w:rPr>
        <w:t>esclusivamente collegati all'esercizio di dette attivit</w:t>
      </w:r>
      <w:r w:rsidR="00F05406" w:rsidRPr="009B5ED3">
        <w:rPr>
          <w:rFonts w:ascii="Bookman Old Style" w:hAnsi="Bookman Old Style" w:hint="cs"/>
        </w:rPr>
        <w:t>à</w:t>
      </w:r>
      <w:r w:rsidR="00F05406" w:rsidRPr="009B5ED3">
        <w:rPr>
          <w:rFonts w:ascii="Bookman Old Style" w:hAnsi="Bookman Old Style"/>
        </w:rPr>
        <w:t xml:space="preserve"> produttive"</w:t>
      </w:r>
      <w:r w:rsidR="006D0D6F">
        <w:rPr>
          <w:rFonts w:ascii="Bookman Old Style" w:hAnsi="Bookman Old Style"/>
        </w:rPr>
        <w:t xml:space="preserve">, dove il prelievo non </w:t>
      </w:r>
      <w:r w:rsidR="00437079">
        <w:rPr>
          <w:rFonts w:ascii="Bookman Old Style" w:hAnsi="Bookman Old Style"/>
        </w:rPr>
        <w:t>va applicato relativamente alla quota variabile</w:t>
      </w:r>
      <w:r w:rsidR="005F107B">
        <w:rPr>
          <w:rFonts w:ascii="Bookman Old Style" w:hAnsi="Bookman Old Style"/>
        </w:rPr>
        <w:t xml:space="preserve"> della TARI</w:t>
      </w:r>
      <w:r w:rsidR="00437079">
        <w:rPr>
          <w:rFonts w:ascii="Bookman Old Style" w:hAnsi="Bookman Old Style"/>
        </w:rPr>
        <w:t>.</w:t>
      </w:r>
    </w:p>
    <w:p w14:paraId="49F581B3" w14:textId="77777777" w:rsidR="00D5592F" w:rsidRDefault="00947FA1" w:rsidP="00DF517B">
      <w:pPr>
        <w:jc w:val="both"/>
        <w:rPr>
          <w:rFonts w:ascii="Bookman Old Style" w:hAnsi="Bookman Old Style"/>
          <w:b/>
          <w:bCs/>
        </w:rPr>
      </w:pPr>
      <w:r>
        <w:rPr>
          <w:rFonts w:ascii="Bookman Old Style" w:hAnsi="Bookman Old Style"/>
        </w:rPr>
        <w:t>L</w:t>
      </w:r>
      <w:r w:rsidRPr="00F57F61">
        <w:rPr>
          <w:rFonts w:ascii="Bookman Old Style" w:hAnsi="Bookman Old Style"/>
          <w:b/>
          <w:bCs/>
        </w:rPr>
        <w:t xml:space="preserve">’Anci non condivide </w:t>
      </w:r>
      <w:r w:rsidR="00014F5A" w:rsidRPr="00F57F61">
        <w:rPr>
          <w:rFonts w:ascii="Bookman Old Style" w:hAnsi="Bookman Old Style"/>
          <w:b/>
          <w:bCs/>
        </w:rPr>
        <w:t xml:space="preserve">la Proposta di legge </w:t>
      </w:r>
      <w:r w:rsidR="00CB2E56" w:rsidRPr="00F57F61">
        <w:rPr>
          <w:rFonts w:ascii="Bookman Old Style" w:hAnsi="Bookman Old Style"/>
          <w:b/>
          <w:bCs/>
        </w:rPr>
        <w:t>oggi in discussione</w:t>
      </w:r>
      <w:r w:rsidR="00CB2E56" w:rsidRPr="00842125">
        <w:rPr>
          <w:rFonts w:ascii="Bookman Old Style" w:hAnsi="Bookman Old Style"/>
          <w:b/>
          <w:bCs/>
        </w:rPr>
        <w:t xml:space="preserve">, </w:t>
      </w:r>
      <w:r w:rsidR="00D5592F">
        <w:rPr>
          <w:rFonts w:ascii="Bookman Old Style" w:hAnsi="Bookman Old Style"/>
          <w:b/>
          <w:bCs/>
        </w:rPr>
        <w:t>per tre essenziali motivi:</w:t>
      </w:r>
    </w:p>
    <w:p w14:paraId="728C3F97" w14:textId="08CE4D89" w:rsidR="00D5592F" w:rsidRDefault="00D5592F" w:rsidP="00D5592F">
      <w:pPr>
        <w:ind w:left="426"/>
        <w:jc w:val="both"/>
        <w:rPr>
          <w:rFonts w:ascii="Bookman Old Style" w:hAnsi="Bookman Old Style"/>
        </w:rPr>
      </w:pPr>
      <w:r>
        <w:rPr>
          <w:rFonts w:ascii="Bookman Old Style" w:hAnsi="Bookman Old Style"/>
          <w:b/>
          <w:bCs/>
        </w:rPr>
        <w:t>a) l’effetto della norma si esplicherebbe nel</w:t>
      </w:r>
      <w:r w:rsidR="001D7701" w:rsidRPr="00876A1A">
        <w:rPr>
          <w:rFonts w:ascii="Bookman Old Style" w:hAnsi="Bookman Old Style"/>
          <w:b/>
          <w:bCs/>
        </w:rPr>
        <w:t xml:space="preserve">l'esenzione </w:t>
      </w:r>
      <w:r w:rsidR="00355243" w:rsidRPr="00842125">
        <w:rPr>
          <w:rFonts w:ascii="Bookman Old Style" w:hAnsi="Bookman Old Style"/>
          <w:b/>
          <w:bCs/>
        </w:rPr>
        <w:t>totale</w:t>
      </w:r>
      <w:r w:rsidR="00DF517B" w:rsidRPr="00842125">
        <w:rPr>
          <w:rFonts w:ascii="Bookman Old Style" w:hAnsi="Bookman Old Style"/>
          <w:b/>
          <w:bCs/>
        </w:rPr>
        <w:t xml:space="preserve"> </w:t>
      </w:r>
      <w:r w:rsidR="00203120" w:rsidRPr="00842125">
        <w:rPr>
          <w:rFonts w:ascii="Bookman Old Style" w:hAnsi="Bookman Old Style"/>
          <w:b/>
          <w:bCs/>
        </w:rPr>
        <w:t xml:space="preserve">con </w:t>
      </w:r>
      <w:r w:rsidR="008A46A2">
        <w:rPr>
          <w:rFonts w:ascii="Bookman Old Style" w:hAnsi="Bookman Old Style"/>
          <w:b/>
          <w:bCs/>
        </w:rPr>
        <w:t xml:space="preserve">probabile </w:t>
      </w:r>
      <w:r w:rsidR="00203120" w:rsidRPr="00842125">
        <w:rPr>
          <w:rFonts w:ascii="Bookman Old Style" w:hAnsi="Bookman Old Style"/>
          <w:b/>
          <w:bCs/>
        </w:rPr>
        <w:t>effetto retroattivo</w:t>
      </w:r>
      <w:r w:rsidR="00203120">
        <w:rPr>
          <w:rFonts w:ascii="Bookman Old Style" w:hAnsi="Bookman Old Style"/>
        </w:rPr>
        <w:t xml:space="preserve"> </w:t>
      </w:r>
      <w:r w:rsidR="00DF517B">
        <w:rPr>
          <w:rFonts w:ascii="Bookman Old Style" w:hAnsi="Bookman Old Style"/>
        </w:rPr>
        <w:t>(sia della quota fissa che di quella variabile)</w:t>
      </w:r>
      <w:r w:rsidR="00355243">
        <w:rPr>
          <w:rFonts w:ascii="Bookman Old Style" w:hAnsi="Bookman Old Style"/>
        </w:rPr>
        <w:t xml:space="preserve"> </w:t>
      </w:r>
      <w:r w:rsidR="001D7701" w:rsidRPr="00876A1A">
        <w:rPr>
          <w:rFonts w:ascii="Bookman Old Style" w:hAnsi="Bookman Old Style"/>
          <w:b/>
          <w:bCs/>
        </w:rPr>
        <w:t xml:space="preserve">dal pagamento della </w:t>
      </w:r>
      <w:r w:rsidR="008E768B" w:rsidRPr="00770ED5">
        <w:rPr>
          <w:rFonts w:ascii="Bookman Old Style" w:hAnsi="Bookman Old Style"/>
          <w:b/>
          <w:bCs/>
        </w:rPr>
        <w:t>tassa sui rifiuti</w:t>
      </w:r>
      <w:r w:rsidR="001D7701" w:rsidRPr="00876A1A">
        <w:rPr>
          <w:rFonts w:ascii="Bookman Old Style" w:hAnsi="Bookman Old Style"/>
          <w:b/>
          <w:bCs/>
        </w:rPr>
        <w:t xml:space="preserve"> </w:t>
      </w:r>
      <w:r>
        <w:rPr>
          <w:rFonts w:ascii="Bookman Old Style" w:hAnsi="Bookman Old Style"/>
        </w:rPr>
        <w:t xml:space="preserve">per tutte le </w:t>
      </w:r>
      <w:r w:rsidR="001D7701" w:rsidRPr="00876A1A">
        <w:rPr>
          <w:rFonts w:ascii="Bookman Old Style" w:hAnsi="Bookman Old Style"/>
        </w:rPr>
        <w:t>superfici ove si realizzano lavorazioni industriali</w:t>
      </w:r>
      <w:r w:rsidR="00DD4A9A">
        <w:rPr>
          <w:rFonts w:ascii="Bookman Old Style" w:hAnsi="Bookman Old Style"/>
        </w:rPr>
        <w:t xml:space="preserve">, </w:t>
      </w:r>
      <w:r w:rsidR="00DD4A9A" w:rsidRPr="00D601AC">
        <w:rPr>
          <w:rFonts w:ascii="Bookman Old Style" w:hAnsi="Bookman Old Style"/>
          <w:b/>
          <w:bCs/>
        </w:rPr>
        <w:t>oltre che</w:t>
      </w:r>
      <w:r w:rsidR="008E768B" w:rsidRPr="00D601AC">
        <w:rPr>
          <w:rFonts w:ascii="Bookman Old Style" w:hAnsi="Bookman Old Style"/>
          <w:b/>
          <w:bCs/>
        </w:rPr>
        <w:t xml:space="preserve"> dei </w:t>
      </w:r>
      <w:r w:rsidR="00DF517B" w:rsidRPr="00D601AC">
        <w:rPr>
          <w:rFonts w:ascii="Bookman Old Style" w:hAnsi="Bookman Old Style"/>
          <w:b/>
          <w:bCs/>
        </w:rPr>
        <w:t>magazzini di materie prime, di merci e di prodotti finiti</w:t>
      </w:r>
      <w:r w:rsidR="00DD4A9A">
        <w:rPr>
          <w:rFonts w:ascii="Bookman Old Style" w:hAnsi="Bookman Old Style"/>
        </w:rPr>
        <w:t xml:space="preserve">, </w:t>
      </w:r>
      <w:r>
        <w:rPr>
          <w:rFonts w:ascii="Bookman Old Style" w:hAnsi="Bookman Old Style"/>
        </w:rPr>
        <w:t xml:space="preserve">con problematiche molto </w:t>
      </w:r>
      <w:r>
        <w:rPr>
          <w:rFonts w:ascii="Bookman Old Style" w:hAnsi="Bookman Old Style"/>
        </w:rPr>
        <w:lastRenderedPageBreak/>
        <w:t xml:space="preserve">serie </w:t>
      </w:r>
      <w:r w:rsidR="008A46A2">
        <w:rPr>
          <w:rFonts w:ascii="Bookman Old Style" w:hAnsi="Bookman Old Style"/>
        </w:rPr>
        <w:t xml:space="preserve">anche in termini di maggior prelievo a carico delle famiglie e delle piccole attività economiche, </w:t>
      </w:r>
      <w:r w:rsidR="00DD4A9A">
        <w:rPr>
          <w:rFonts w:ascii="Bookman Old Style" w:hAnsi="Bookman Old Style"/>
        </w:rPr>
        <w:t>che saranno argomentate nel prosieguo del presente documento</w:t>
      </w:r>
      <w:r>
        <w:rPr>
          <w:rFonts w:ascii="Bookman Old Style" w:hAnsi="Bookman Old Style"/>
        </w:rPr>
        <w:t>;</w:t>
      </w:r>
    </w:p>
    <w:p w14:paraId="19ADED32" w14:textId="15D6BE2E" w:rsidR="00D5592F" w:rsidRDefault="00D5592F" w:rsidP="00D5592F">
      <w:pPr>
        <w:ind w:left="426"/>
        <w:jc w:val="both"/>
        <w:rPr>
          <w:rFonts w:ascii="Bookman Old Style" w:hAnsi="Bookman Old Style"/>
        </w:rPr>
      </w:pPr>
      <w:r w:rsidRPr="00D5592F">
        <w:rPr>
          <w:rFonts w:ascii="Bookman Old Style" w:hAnsi="Bookman Old Style"/>
          <w:b/>
          <w:bCs/>
        </w:rPr>
        <w:t>b)</w:t>
      </w:r>
      <w:r>
        <w:rPr>
          <w:rFonts w:ascii="Bookman Old Style" w:hAnsi="Bookman Old Style"/>
        </w:rPr>
        <w:t xml:space="preserve"> </w:t>
      </w:r>
      <w:r w:rsidRPr="00D5592F">
        <w:rPr>
          <w:rFonts w:ascii="Bookman Old Style" w:hAnsi="Bookman Old Style"/>
          <w:b/>
          <w:bCs/>
        </w:rPr>
        <w:t>le modalità di intervento</w:t>
      </w:r>
      <w:r w:rsidR="006D5B03">
        <w:rPr>
          <w:rFonts w:ascii="Bookman Old Style" w:hAnsi="Bookman Old Style"/>
          <w:b/>
          <w:bCs/>
        </w:rPr>
        <w:t xml:space="preserve"> sembrano configurarsi come </w:t>
      </w:r>
      <w:r w:rsidRPr="00D5592F">
        <w:rPr>
          <w:rFonts w:ascii="Bookman Old Style" w:hAnsi="Bookman Old Style"/>
          <w:b/>
          <w:bCs/>
        </w:rPr>
        <w:t>interpretazione autentica</w:t>
      </w:r>
      <w:r w:rsidR="006D5B03">
        <w:rPr>
          <w:rFonts w:ascii="Bookman Old Style" w:hAnsi="Bookman Old Style"/>
          <w:b/>
          <w:bCs/>
        </w:rPr>
        <w:t xml:space="preserve">, </w:t>
      </w:r>
      <w:r w:rsidR="006D5B03" w:rsidRPr="006D5B03">
        <w:rPr>
          <w:rFonts w:ascii="Bookman Old Style" w:hAnsi="Bookman Old Style"/>
        </w:rPr>
        <w:t>elemento che</w:t>
      </w:r>
      <w:r w:rsidR="006D5B03">
        <w:rPr>
          <w:rFonts w:ascii="Bookman Old Style" w:hAnsi="Bookman Old Style"/>
          <w:b/>
          <w:bCs/>
        </w:rPr>
        <w:t xml:space="preserve"> </w:t>
      </w:r>
      <w:r>
        <w:rPr>
          <w:rFonts w:ascii="Bookman Old Style" w:hAnsi="Bookman Old Style"/>
        </w:rPr>
        <w:t>esporrebbe i Comuni a richieste di rimborso anche per quote versate in anni precedenti e – nella consuetudine che si è purtroppo consolidata in altri casi analoghi – escluderebbe un intervento statale a ristoro dei mancati gettiti derivanti da modifiche normative;</w:t>
      </w:r>
    </w:p>
    <w:p w14:paraId="1BCD4187" w14:textId="5CFE29A6" w:rsidR="001367FF" w:rsidRDefault="00D5592F" w:rsidP="00D5592F">
      <w:pPr>
        <w:ind w:left="426"/>
        <w:jc w:val="both"/>
        <w:rPr>
          <w:rFonts w:ascii="Times New Roman" w:eastAsia="Calibri" w:hAnsi="Times New Roman" w:cs="Times New Roman"/>
          <w:kern w:val="0"/>
          <w:sz w:val="24"/>
          <w:szCs w:val="24"/>
          <w14:ligatures w14:val="none"/>
        </w:rPr>
      </w:pPr>
      <w:r w:rsidRPr="006D5B03">
        <w:rPr>
          <w:rFonts w:ascii="Bookman Old Style" w:hAnsi="Bookman Old Style"/>
          <w:b/>
          <w:bCs/>
        </w:rPr>
        <w:t>c)</w:t>
      </w:r>
      <w:r>
        <w:rPr>
          <w:rFonts w:ascii="Bookman Old Style" w:hAnsi="Bookman Old Style"/>
        </w:rPr>
        <w:t xml:space="preserve"> l’intervento proposto </w:t>
      </w:r>
      <w:r w:rsidRPr="00D5592F">
        <w:rPr>
          <w:rFonts w:ascii="Bookman Old Style" w:hAnsi="Bookman Old Style"/>
          <w:b/>
          <w:bCs/>
        </w:rPr>
        <w:t>si contrappone ad una giurisprudenza anche di Cassazione</w:t>
      </w:r>
      <w:r>
        <w:rPr>
          <w:rFonts w:ascii="Bookman Old Style" w:hAnsi="Bookman Old Style"/>
        </w:rPr>
        <w:t xml:space="preserve"> che ha a più riprese richiamato l’applicabilità della parte fissa del prelievo sui rifiuti anche ai soggetti che ne verrebbero ora completamente esentati e appare</w:t>
      </w:r>
      <w:r w:rsidR="005F107B">
        <w:rPr>
          <w:rFonts w:ascii="Bookman Old Style" w:hAnsi="Bookman Old Style"/>
        </w:rPr>
        <w:t xml:space="preserve"> altresì</w:t>
      </w:r>
      <w:r>
        <w:rPr>
          <w:rFonts w:ascii="Bookman Old Style" w:hAnsi="Bookman Old Style"/>
        </w:rPr>
        <w:t xml:space="preserve"> </w:t>
      </w:r>
      <w:r w:rsidRPr="00D5592F">
        <w:rPr>
          <w:rFonts w:ascii="Bookman Old Style" w:hAnsi="Bookman Old Style"/>
          <w:b/>
          <w:bCs/>
        </w:rPr>
        <w:t>difforme rispetto a impostazioni unionali consolidate</w:t>
      </w:r>
      <w:r w:rsidR="00DD4A9A">
        <w:rPr>
          <w:rFonts w:ascii="Bookman Old Style" w:hAnsi="Bookman Old Style"/>
        </w:rPr>
        <w:t>.</w:t>
      </w:r>
      <w:r w:rsidR="00D134CE" w:rsidRPr="00D134CE">
        <w:rPr>
          <w:rFonts w:ascii="Times New Roman" w:eastAsia="Calibri" w:hAnsi="Times New Roman" w:cs="Times New Roman"/>
          <w:kern w:val="0"/>
          <w:sz w:val="24"/>
          <w:szCs w:val="24"/>
          <w14:ligatures w14:val="none"/>
        </w:rPr>
        <w:t xml:space="preserve"> </w:t>
      </w:r>
    </w:p>
    <w:p w14:paraId="4A236DBE" w14:textId="66ABA3E9" w:rsidR="001D7701" w:rsidRPr="00D5592F" w:rsidRDefault="00D5592F" w:rsidP="00DF517B">
      <w:pPr>
        <w:jc w:val="both"/>
        <w:rPr>
          <w:rFonts w:ascii="Bookman Old Style" w:hAnsi="Bookman Old Style"/>
        </w:rPr>
      </w:pPr>
      <w:r w:rsidRPr="00D5592F">
        <w:rPr>
          <w:rFonts w:ascii="Bookman Old Style" w:hAnsi="Bookman Old Style"/>
          <w:b/>
          <w:bCs/>
        </w:rPr>
        <w:t>Sotto il profilo del gettito</w:t>
      </w:r>
      <w:r>
        <w:rPr>
          <w:rFonts w:ascii="Bookman Old Style" w:hAnsi="Bookman Old Style"/>
        </w:rPr>
        <w:t xml:space="preserve">, l’impatto della detassazione integrale </w:t>
      </w:r>
      <w:r w:rsidR="008A46A2" w:rsidRPr="008A46A2">
        <w:rPr>
          <w:rFonts w:ascii="Bookman Old Style" w:hAnsi="Bookman Old Style"/>
          <w:b/>
          <w:bCs/>
        </w:rPr>
        <w:t xml:space="preserve">diminuisce la </w:t>
      </w:r>
      <w:r w:rsidR="00D134CE" w:rsidRPr="008A46A2">
        <w:rPr>
          <w:rFonts w:ascii="Bookman Old Style" w:hAnsi="Bookman Old Style"/>
          <w:b/>
          <w:bCs/>
        </w:rPr>
        <w:t>base imponibile</w:t>
      </w:r>
      <w:r w:rsidR="00D134CE" w:rsidRPr="00D5592F">
        <w:rPr>
          <w:rFonts w:ascii="Bookman Old Style" w:hAnsi="Bookman Old Style"/>
        </w:rPr>
        <w:t xml:space="preserve"> </w:t>
      </w:r>
      <w:r w:rsidR="005B2DB6" w:rsidRPr="008A46A2">
        <w:rPr>
          <w:rFonts w:ascii="Bookman Old Style" w:hAnsi="Bookman Old Style"/>
        </w:rPr>
        <w:t>sottraendo le</w:t>
      </w:r>
      <w:r w:rsidR="00D134CE" w:rsidRPr="008A46A2">
        <w:rPr>
          <w:rFonts w:ascii="Bookman Old Style" w:hAnsi="Bookman Old Style"/>
        </w:rPr>
        <w:t xml:space="preserve"> superfici da assoggettare al prelievo sui rifiuti le attività industriali</w:t>
      </w:r>
      <w:r w:rsidR="000E5EE5" w:rsidRPr="008A46A2">
        <w:rPr>
          <w:rFonts w:ascii="Bookman Old Style" w:hAnsi="Bookman Old Style"/>
        </w:rPr>
        <w:t xml:space="preserve"> e tutte le tipologie di magazzini</w:t>
      </w:r>
      <w:r w:rsidRPr="008A46A2">
        <w:rPr>
          <w:rFonts w:ascii="Bookman Old Style" w:hAnsi="Bookman Old Style"/>
        </w:rPr>
        <w:t>,</w:t>
      </w:r>
      <w:r w:rsidR="000E5EE5" w:rsidRPr="00D5592F">
        <w:rPr>
          <w:rFonts w:ascii="Bookman Old Style" w:hAnsi="Bookman Old Style"/>
        </w:rPr>
        <w:t xml:space="preserve"> </w:t>
      </w:r>
      <w:r w:rsidR="00B748A8" w:rsidRPr="00D5592F">
        <w:rPr>
          <w:rFonts w:ascii="Bookman Old Style" w:hAnsi="Bookman Old Style"/>
        </w:rPr>
        <w:t>a prescindere dalla funzione collegata allo svolgimento dell’attività industriale</w:t>
      </w:r>
      <w:r w:rsidR="001367FF" w:rsidRPr="00D5592F">
        <w:rPr>
          <w:rFonts w:ascii="Bookman Old Style" w:hAnsi="Bookman Old Style"/>
        </w:rPr>
        <w:t xml:space="preserve">, </w:t>
      </w:r>
      <w:r w:rsidR="000C0E80" w:rsidRPr="008A46A2">
        <w:rPr>
          <w:rFonts w:ascii="Bookman Old Style" w:hAnsi="Bookman Old Style"/>
          <w:b/>
          <w:bCs/>
        </w:rPr>
        <w:t>determinando</w:t>
      </w:r>
      <w:r w:rsidR="00391B38" w:rsidRPr="008A46A2">
        <w:rPr>
          <w:rFonts w:ascii="Bookman Old Style" w:hAnsi="Bookman Old Style"/>
          <w:b/>
          <w:bCs/>
        </w:rPr>
        <w:t xml:space="preserve"> </w:t>
      </w:r>
      <w:r w:rsidRPr="008A46A2">
        <w:rPr>
          <w:rFonts w:ascii="Bookman Old Style" w:hAnsi="Bookman Old Style"/>
          <w:b/>
          <w:bCs/>
        </w:rPr>
        <w:t xml:space="preserve">una </w:t>
      </w:r>
      <w:r w:rsidR="00391B38" w:rsidRPr="008A46A2">
        <w:rPr>
          <w:rFonts w:ascii="Bookman Old Style" w:hAnsi="Bookman Old Style"/>
          <w:b/>
          <w:bCs/>
        </w:rPr>
        <w:t xml:space="preserve">necessità di copertura del gettito mancante </w:t>
      </w:r>
      <w:r w:rsidR="008A46A2">
        <w:rPr>
          <w:rFonts w:ascii="Bookman Old Style" w:hAnsi="Bookman Old Style"/>
          <w:b/>
          <w:bCs/>
        </w:rPr>
        <w:t xml:space="preserve">mediante incrementi a carico delle </w:t>
      </w:r>
      <w:r w:rsidR="00B770DC" w:rsidRPr="008A46A2">
        <w:rPr>
          <w:rFonts w:ascii="Bookman Old Style" w:hAnsi="Bookman Old Style"/>
          <w:b/>
          <w:bCs/>
        </w:rPr>
        <w:t>altre tipologie di utenza, in particolare le utenze domestiche</w:t>
      </w:r>
      <w:r w:rsidR="008A46A2">
        <w:rPr>
          <w:rFonts w:ascii="Bookman Old Style" w:hAnsi="Bookman Old Style"/>
        </w:rPr>
        <w:t xml:space="preserve"> </w:t>
      </w:r>
      <w:r w:rsidR="008A46A2" w:rsidRPr="008A46A2">
        <w:rPr>
          <w:rFonts w:ascii="Bookman Old Style" w:hAnsi="Bookman Old Style"/>
          <w:b/>
          <w:bCs/>
        </w:rPr>
        <w:t>e le piccole attività economiche</w:t>
      </w:r>
      <w:r w:rsidR="003D43CA" w:rsidRPr="00D5592F">
        <w:rPr>
          <w:rFonts w:ascii="Bookman Old Style" w:hAnsi="Bookman Old Style"/>
        </w:rPr>
        <w:t xml:space="preserve">, </w:t>
      </w:r>
      <w:r w:rsidR="008A46A2">
        <w:rPr>
          <w:rFonts w:ascii="Bookman Old Style" w:hAnsi="Bookman Old Style"/>
        </w:rPr>
        <w:t xml:space="preserve">in quanto la </w:t>
      </w:r>
      <w:r w:rsidR="003D43CA" w:rsidRPr="00D5592F">
        <w:rPr>
          <w:rFonts w:ascii="Bookman Old Style" w:hAnsi="Bookman Old Style"/>
        </w:rPr>
        <w:t xml:space="preserve">TARI </w:t>
      </w:r>
      <w:r w:rsidR="008A46A2">
        <w:rPr>
          <w:rFonts w:ascii="Bookman Old Style" w:hAnsi="Bookman Old Style"/>
        </w:rPr>
        <w:t xml:space="preserve">si configura </w:t>
      </w:r>
      <w:r w:rsidR="008D779F" w:rsidRPr="00D5592F">
        <w:rPr>
          <w:rFonts w:ascii="Bookman Old Style" w:hAnsi="Bookman Old Style"/>
        </w:rPr>
        <w:t>come un prelievo a copertura integrale dei costi determinati nel Piano economico finanziario</w:t>
      </w:r>
      <w:r w:rsidR="00391B38" w:rsidRPr="00D5592F">
        <w:rPr>
          <w:rFonts w:ascii="Bookman Old Style" w:hAnsi="Bookman Old Style"/>
        </w:rPr>
        <w:t>.</w:t>
      </w:r>
      <w:r>
        <w:rPr>
          <w:rFonts w:ascii="Bookman Old Style" w:hAnsi="Bookman Old Style"/>
        </w:rPr>
        <w:t xml:space="preserve"> </w:t>
      </w:r>
    </w:p>
    <w:p w14:paraId="315150E1" w14:textId="720B61CC" w:rsidR="009E3634" w:rsidRDefault="00D5592F" w:rsidP="00055917">
      <w:pPr>
        <w:jc w:val="both"/>
        <w:rPr>
          <w:rFonts w:ascii="Bookman Old Style" w:hAnsi="Bookman Old Style"/>
          <w:b/>
        </w:rPr>
      </w:pPr>
      <w:r>
        <w:rPr>
          <w:rFonts w:ascii="Bookman Old Style" w:hAnsi="Bookman Old Style"/>
          <w:bCs/>
        </w:rPr>
        <w:t>Sotto il profilo giuridico, si</w:t>
      </w:r>
      <w:r w:rsidR="00055917" w:rsidRPr="001778AD">
        <w:rPr>
          <w:rFonts w:ascii="Bookman Old Style" w:hAnsi="Bookman Old Style"/>
          <w:bCs/>
        </w:rPr>
        <w:t xml:space="preserve"> ritiene opportuno</w:t>
      </w:r>
      <w:r>
        <w:rPr>
          <w:rFonts w:ascii="Bookman Old Style" w:hAnsi="Bookman Old Style"/>
          <w:bCs/>
        </w:rPr>
        <w:t>,</w:t>
      </w:r>
      <w:r w:rsidR="00055917" w:rsidRPr="001778AD">
        <w:rPr>
          <w:rFonts w:ascii="Bookman Old Style" w:hAnsi="Bookman Old Style"/>
          <w:bCs/>
        </w:rPr>
        <w:t xml:space="preserve"> </w:t>
      </w:r>
      <w:r w:rsidR="00D82863">
        <w:rPr>
          <w:rFonts w:ascii="Bookman Old Style" w:hAnsi="Bookman Old Style"/>
          <w:bCs/>
        </w:rPr>
        <w:t xml:space="preserve">in </w:t>
      </w:r>
      <w:r w:rsidR="00EE7180">
        <w:rPr>
          <w:rFonts w:ascii="Bookman Old Style" w:hAnsi="Bookman Old Style"/>
          <w:bCs/>
        </w:rPr>
        <w:t>primo luogo</w:t>
      </w:r>
      <w:r w:rsidR="00D82863">
        <w:rPr>
          <w:rFonts w:ascii="Bookman Old Style" w:hAnsi="Bookman Old Style"/>
          <w:bCs/>
        </w:rPr>
        <w:t xml:space="preserve">, </w:t>
      </w:r>
      <w:r w:rsidR="009816DE">
        <w:rPr>
          <w:rFonts w:ascii="Bookman Old Style" w:hAnsi="Bookman Old Style"/>
          <w:bCs/>
        </w:rPr>
        <w:t xml:space="preserve">porre l’attenzione sul </w:t>
      </w:r>
      <w:r w:rsidR="006737F1" w:rsidRPr="006737F1">
        <w:rPr>
          <w:rFonts w:ascii="Bookman Old Style" w:hAnsi="Bookman Old Style"/>
          <w:b/>
        </w:rPr>
        <w:t xml:space="preserve">grande </w:t>
      </w:r>
      <w:r w:rsidR="00055917" w:rsidRPr="001778AD">
        <w:rPr>
          <w:rFonts w:ascii="Bookman Old Style" w:hAnsi="Bookman Old Style"/>
          <w:b/>
        </w:rPr>
        <w:t>rischio di interpretazioni normative non aderenti al dettato comunitario</w:t>
      </w:r>
      <w:r w:rsidR="00055917" w:rsidRPr="001778AD">
        <w:rPr>
          <w:rFonts w:ascii="Bookman Old Style" w:hAnsi="Bookman Old Style"/>
          <w:bCs/>
        </w:rPr>
        <w:t>. Ci si riferisce</w:t>
      </w:r>
      <w:r>
        <w:rPr>
          <w:rFonts w:ascii="Bookman Old Style" w:hAnsi="Bookman Old Style"/>
          <w:bCs/>
        </w:rPr>
        <w:t>,</w:t>
      </w:r>
      <w:r w:rsidR="00055917" w:rsidRPr="001778AD">
        <w:rPr>
          <w:rFonts w:ascii="Bookman Old Style" w:hAnsi="Bookman Old Style"/>
          <w:bCs/>
        </w:rPr>
        <w:t xml:space="preserve"> in particolare</w:t>
      </w:r>
      <w:r>
        <w:rPr>
          <w:rFonts w:ascii="Bookman Old Style" w:hAnsi="Bookman Old Style"/>
          <w:bCs/>
        </w:rPr>
        <w:t>,</w:t>
      </w:r>
      <w:r w:rsidR="00055917" w:rsidRPr="001778AD">
        <w:rPr>
          <w:rFonts w:ascii="Bookman Old Style" w:hAnsi="Bookman Old Style"/>
          <w:bCs/>
        </w:rPr>
        <w:t xml:space="preserve"> alla disciplina relativa ai rifiuti prodotti nell’ambito delle lavorazioni industriali, che il testo proposto collega </w:t>
      </w:r>
      <w:r>
        <w:rPr>
          <w:rFonts w:ascii="Bookman Old Style" w:hAnsi="Bookman Old Style"/>
          <w:bCs/>
        </w:rPr>
        <w:t xml:space="preserve">in modo apodittico </w:t>
      </w:r>
      <w:r w:rsidR="00055917" w:rsidRPr="001778AD">
        <w:rPr>
          <w:rFonts w:ascii="Bookman Old Style" w:hAnsi="Bookman Old Style"/>
          <w:bCs/>
        </w:rPr>
        <w:t xml:space="preserve">alla superficie in cui sono prodotti, diversamente da quanto promana dalla </w:t>
      </w:r>
      <w:r w:rsidR="00055917" w:rsidRPr="00D5592F">
        <w:rPr>
          <w:rFonts w:ascii="Bookman Old Style" w:hAnsi="Bookman Old Style"/>
          <w:b/>
        </w:rPr>
        <w:t>normativa europea che collega i rifiuti prodotti alle rispettive tipologie</w:t>
      </w:r>
      <w:r w:rsidR="00055917" w:rsidRPr="001778AD">
        <w:rPr>
          <w:rFonts w:ascii="Bookman Old Style" w:hAnsi="Bookman Old Style"/>
          <w:bCs/>
        </w:rPr>
        <w:t xml:space="preserve">, i codici EER (ex CER). Come più volte precisato da Anci, e confermato da una giurisprudenza unanime anche di Cassazione, </w:t>
      </w:r>
      <w:r>
        <w:rPr>
          <w:rFonts w:ascii="Bookman Old Style" w:hAnsi="Bookman Old Style"/>
          <w:b/>
        </w:rPr>
        <w:t xml:space="preserve">ciò che rileva ai fini del perimetro del prelievo </w:t>
      </w:r>
      <w:r w:rsidR="00055917" w:rsidRPr="005D1330">
        <w:rPr>
          <w:rFonts w:ascii="Bookman Old Style" w:hAnsi="Bookman Old Style"/>
          <w:b/>
        </w:rPr>
        <w:t xml:space="preserve">non </w:t>
      </w:r>
      <w:r w:rsidRPr="005D1330">
        <w:rPr>
          <w:rFonts w:ascii="Bookman Old Style" w:hAnsi="Bookman Old Style"/>
          <w:b/>
        </w:rPr>
        <w:t xml:space="preserve">è </w:t>
      </w:r>
      <w:r w:rsidR="00055917" w:rsidRPr="005D1330">
        <w:rPr>
          <w:rFonts w:ascii="Bookman Old Style" w:hAnsi="Bookman Old Style"/>
          <w:b/>
        </w:rPr>
        <w:t>il luogo di produzione (o l’attività) ma il codice di riferimento cui associare il rifiuto prodotto</w:t>
      </w:r>
      <w:r w:rsidR="00055917" w:rsidRPr="001778AD">
        <w:rPr>
          <w:rFonts w:ascii="Bookman Old Style" w:hAnsi="Bookman Old Style"/>
          <w:bCs/>
        </w:rPr>
        <w:t xml:space="preserve"> (es. la carta prodotta da un’utenza domestica</w:t>
      </w:r>
      <w:r>
        <w:rPr>
          <w:rFonts w:ascii="Bookman Old Style" w:hAnsi="Bookman Old Style"/>
          <w:bCs/>
        </w:rPr>
        <w:t xml:space="preserve"> – </w:t>
      </w:r>
      <w:r w:rsidR="00055917" w:rsidRPr="001778AD">
        <w:rPr>
          <w:rFonts w:ascii="Bookman Old Style" w:hAnsi="Bookman Old Style"/>
          <w:bCs/>
        </w:rPr>
        <w:t>tipicamente un rifiuto urbano</w:t>
      </w:r>
      <w:r>
        <w:rPr>
          <w:rFonts w:ascii="Bookman Old Style" w:hAnsi="Bookman Old Style"/>
          <w:bCs/>
        </w:rPr>
        <w:t xml:space="preserve"> – </w:t>
      </w:r>
      <w:r w:rsidR="00055917" w:rsidRPr="001778AD">
        <w:rPr>
          <w:rFonts w:ascii="Bookman Old Style" w:hAnsi="Bookman Old Style"/>
          <w:bCs/>
        </w:rPr>
        <w:t>non può essere trattata diversamente se prodotta in un magazzino funzionalmente collegato alle superfici di lavorazione industriale).</w:t>
      </w:r>
      <w:r w:rsidR="00C921BD" w:rsidRPr="00C921BD">
        <w:rPr>
          <w:rFonts w:ascii="Bookman Old Style" w:hAnsi="Bookman Old Style"/>
          <w:b/>
        </w:rPr>
        <w:t xml:space="preserve"> </w:t>
      </w:r>
    </w:p>
    <w:p w14:paraId="4FA0439B" w14:textId="774EB06A" w:rsidR="00055917" w:rsidRPr="001778AD" w:rsidRDefault="00C921BD" w:rsidP="00055917">
      <w:pPr>
        <w:jc w:val="both"/>
        <w:rPr>
          <w:rFonts w:ascii="Bookman Old Style" w:hAnsi="Bookman Old Style"/>
          <w:bCs/>
        </w:rPr>
      </w:pPr>
      <w:r w:rsidRPr="009E3634">
        <w:rPr>
          <w:rFonts w:ascii="Bookman Old Style" w:hAnsi="Bookman Old Style"/>
          <w:bCs/>
        </w:rPr>
        <w:t>Anche in base alla normativa nazionale (d.lgs. 116/2020</w:t>
      </w:r>
      <w:r w:rsidR="00475793" w:rsidRPr="009E3634">
        <w:rPr>
          <w:rFonts w:ascii="Bookman Old Style" w:hAnsi="Bookman Old Style"/>
          <w:bCs/>
        </w:rPr>
        <w:t>)</w:t>
      </w:r>
      <w:r w:rsidRPr="009E3634">
        <w:rPr>
          <w:rFonts w:ascii="Bookman Old Style" w:hAnsi="Bookman Old Style"/>
          <w:bCs/>
        </w:rPr>
        <w:t>, la nozione di rifiuto è collegata alla sua composizione merceologica e non a</w:t>
      </w:r>
      <w:r w:rsidR="008035B9" w:rsidRPr="009E3634">
        <w:rPr>
          <w:rFonts w:ascii="Bookman Old Style" w:hAnsi="Bookman Old Style"/>
          <w:bCs/>
        </w:rPr>
        <w:t>l</w:t>
      </w:r>
      <w:r w:rsidRPr="009E3634">
        <w:rPr>
          <w:rFonts w:ascii="Bookman Old Style" w:hAnsi="Bookman Old Style"/>
          <w:bCs/>
        </w:rPr>
        <w:t xml:space="preserve"> luogo di produzione di rifiuto.</w:t>
      </w:r>
      <w:r w:rsidRPr="00ED0F1A">
        <w:rPr>
          <w:rFonts w:ascii="Bookman Old Style" w:hAnsi="Bookman Old Style"/>
          <w:b/>
        </w:rPr>
        <w:t xml:space="preserve"> </w:t>
      </w:r>
      <w:r w:rsidR="008035B9">
        <w:rPr>
          <w:rFonts w:ascii="Bookman Old Style" w:hAnsi="Bookman Old Style"/>
          <w:b/>
        </w:rPr>
        <w:t>Realisticamente</w:t>
      </w:r>
      <w:r w:rsidR="001751E8">
        <w:rPr>
          <w:rFonts w:ascii="Bookman Old Style" w:hAnsi="Bookman Old Style"/>
          <w:b/>
        </w:rPr>
        <w:t>, u</w:t>
      </w:r>
      <w:r w:rsidRPr="00ED0F1A">
        <w:rPr>
          <w:rFonts w:ascii="Bookman Old Style" w:hAnsi="Bookman Old Style"/>
          <w:b/>
        </w:rPr>
        <w:t xml:space="preserve">n rifiuto è speciale </w:t>
      </w:r>
      <w:r w:rsidR="00D5592F">
        <w:rPr>
          <w:rFonts w:ascii="Bookman Old Style" w:hAnsi="Bookman Old Style"/>
          <w:b/>
        </w:rPr>
        <w:t xml:space="preserve">o “ordinario” </w:t>
      </w:r>
      <w:r w:rsidRPr="00ED0F1A">
        <w:rPr>
          <w:rFonts w:ascii="Bookman Old Style" w:hAnsi="Bookman Old Style"/>
          <w:b/>
        </w:rPr>
        <w:t xml:space="preserve">indipendentemente dal luogo </w:t>
      </w:r>
      <w:r w:rsidR="001751E8">
        <w:rPr>
          <w:rFonts w:ascii="Bookman Old Style" w:hAnsi="Bookman Old Style"/>
          <w:b/>
        </w:rPr>
        <w:t>in cui si produce</w:t>
      </w:r>
      <w:r w:rsidRPr="00ED0F1A">
        <w:rPr>
          <w:rFonts w:ascii="Bookman Old Style" w:hAnsi="Bookman Old Style"/>
          <w:b/>
        </w:rPr>
        <w:t>.</w:t>
      </w:r>
    </w:p>
    <w:p w14:paraId="093E4183" w14:textId="2E40BB6E" w:rsidR="0069580F" w:rsidRDefault="0069580F" w:rsidP="0069580F">
      <w:pPr>
        <w:jc w:val="both"/>
        <w:rPr>
          <w:rFonts w:ascii="Bookman Old Style" w:hAnsi="Bookman Old Style"/>
        </w:rPr>
      </w:pPr>
      <w:r>
        <w:rPr>
          <w:rFonts w:ascii="Bookman Old Style" w:hAnsi="Bookman Old Style"/>
        </w:rPr>
        <w:t>E’ noto inoltre, c</w:t>
      </w:r>
      <w:r w:rsidRPr="000216AA">
        <w:rPr>
          <w:rFonts w:ascii="Bookman Old Style" w:hAnsi="Bookman Old Style"/>
        </w:rPr>
        <w:t xml:space="preserve">ome anche riportato nella Relazione illustrativa della Proposta di legge in esame, </w:t>
      </w:r>
      <w:r>
        <w:rPr>
          <w:rFonts w:ascii="Bookman Old Style" w:hAnsi="Bookman Old Style"/>
        </w:rPr>
        <w:t xml:space="preserve">che </w:t>
      </w:r>
      <w:r w:rsidRPr="000216AA">
        <w:rPr>
          <w:rFonts w:ascii="Bookman Old Style" w:hAnsi="Bookman Old Style"/>
        </w:rPr>
        <w:t xml:space="preserve">sull’esclusione dal prelievo sui rifiuti delle superfici dove si formano rifiuti speciali, è in corso </w:t>
      </w:r>
      <w:r w:rsidR="001751E8">
        <w:rPr>
          <w:rFonts w:ascii="Bookman Old Style" w:hAnsi="Bookman Old Style"/>
        </w:rPr>
        <w:t xml:space="preserve">da tempo </w:t>
      </w:r>
      <w:r w:rsidRPr="000216AA">
        <w:rPr>
          <w:rFonts w:ascii="Bookman Old Style" w:hAnsi="Bookman Old Style"/>
        </w:rPr>
        <w:t xml:space="preserve">un ampio dibattito, su cui si è innestato un </w:t>
      </w:r>
      <w:r w:rsidRPr="000216AA">
        <w:rPr>
          <w:rFonts w:ascii="Bookman Old Style" w:hAnsi="Bookman Old Style"/>
          <w:b/>
          <w:bCs/>
        </w:rPr>
        <w:t xml:space="preserve">filone giurisprudenziale </w:t>
      </w:r>
      <w:r w:rsidRPr="00BA4122">
        <w:rPr>
          <w:rFonts w:ascii="Bookman Old Style" w:hAnsi="Bookman Old Style"/>
          <w:b/>
          <w:bCs/>
        </w:rPr>
        <w:t xml:space="preserve">della Corte di Cassazione </w:t>
      </w:r>
      <w:r w:rsidRPr="000216AA">
        <w:rPr>
          <w:rFonts w:ascii="Bookman Old Style" w:hAnsi="Bookman Old Style"/>
          <w:b/>
          <w:bCs/>
        </w:rPr>
        <w:t>pressoch</w:t>
      </w:r>
      <w:r w:rsidR="00D5592F">
        <w:rPr>
          <w:rFonts w:ascii="Bookman Old Style" w:hAnsi="Bookman Old Style"/>
          <w:b/>
          <w:bCs/>
        </w:rPr>
        <w:t>é</w:t>
      </w:r>
      <w:r w:rsidRPr="000216AA">
        <w:rPr>
          <w:rFonts w:ascii="Bookman Old Style" w:hAnsi="Bookman Old Style"/>
          <w:b/>
          <w:bCs/>
        </w:rPr>
        <w:t xml:space="preserve"> unanime nel ritenere dovuta</w:t>
      </w:r>
      <w:r w:rsidRPr="00BA4122">
        <w:rPr>
          <w:rFonts w:ascii="Bookman Old Style" w:hAnsi="Bookman Old Style"/>
          <w:b/>
          <w:bCs/>
        </w:rPr>
        <w:t xml:space="preserve"> almeno la quota fissa per tutte le superfici, in virtù delle caratteristiche proprie del</w:t>
      </w:r>
      <w:r>
        <w:rPr>
          <w:rFonts w:ascii="Bookman Old Style" w:hAnsi="Bookman Old Style"/>
        </w:rPr>
        <w:t xml:space="preserve"> </w:t>
      </w:r>
      <w:r w:rsidRPr="00FB3D8C">
        <w:rPr>
          <w:rFonts w:ascii="Bookman Old Style" w:hAnsi="Bookman Old Style"/>
          <w:b/>
          <w:bCs/>
        </w:rPr>
        <w:t>tributo</w:t>
      </w:r>
      <w:r>
        <w:rPr>
          <w:rFonts w:ascii="Bookman Old Style" w:hAnsi="Bookman Old Style"/>
        </w:rPr>
        <w:t>,</w:t>
      </w:r>
      <w:r w:rsidRPr="00FB3D8C">
        <w:rPr>
          <w:rFonts w:ascii="Bookman Old Style" w:hAnsi="Bookman Old Style"/>
        </w:rPr>
        <w:t xml:space="preserve"> la </w:t>
      </w:r>
      <w:r>
        <w:rPr>
          <w:rFonts w:ascii="Bookman Old Style" w:hAnsi="Bookman Old Style"/>
        </w:rPr>
        <w:t xml:space="preserve">cui </w:t>
      </w:r>
      <w:r w:rsidRPr="00FB3D8C">
        <w:rPr>
          <w:rFonts w:ascii="Bookman Old Style" w:hAnsi="Bookman Old Style"/>
        </w:rPr>
        <w:t xml:space="preserve">funzione </w:t>
      </w:r>
      <w:r>
        <w:rPr>
          <w:rFonts w:ascii="Bookman Old Style" w:hAnsi="Bookman Old Style"/>
        </w:rPr>
        <w:t xml:space="preserve">è di </w:t>
      </w:r>
      <w:r w:rsidRPr="00FB3D8C">
        <w:rPr>
          <w:rFonts w:ascii="Bookman Old Style" w:hAnsi="Bookman Old Style"/>
        </w:rPr>
        <w:t>coprire anche le spese afferenti a un servizio</w:t>
      </w:r>
      <w:r>
        <w:rPr>
          <w:rFonts w:ascii="Bookman Old Style" w:hAnsi="Bookman Old Style"/>
        </w:rPr>
        <w:t xml:space="preserve"> </w:t>
      </w:r>
      <w:r w:rsidRPr="00FB3D8C">
        <w:rPr>
          <w:rFonts w:ascii="Bookman Old Style" w:hAnsi="Bookman Old Style"/>
        </w:rPr>
        <w:t>indivisibile, reso a favore della collettivit</w:t>
      </w:r>
      <w:r w:rsidRPr="00FB3D8C">
        <w:rPr>
          <w:rFonts w:ascii="Bookman Old Style" w:hAnsi="Bookman Old Style" w:hint="cs"/>
        </w:rPr>
        <w:t>à</w:t>
      </w:r>
      <w:r w:rsidR="005D1330">
        <w:rPr>
          <w:rFonts w:ascii="Bookman Old Style" w:hAnsi="Bookman Old Style"/>
        </w:rPr>
        <w:t xml:space="preserve"> nel suo insieme</w:t>
      </w:r>
      <w:r w:rsidRPr="000216AA">
        <w:rPr>
          <w:rFonts w:ascii="Bookman Old Style" w:hAnsi="Bookman Old Style"/>
        </w:rPr>
        <w:t xml:space="preserve">. </w:t>
      </w:r>
      <w:r w:rsidR="00D5592F">
        <w:rPr>
          <w:rFonts w:ascii="Bookman Old Style" w:hAnsi="Bookman Old Style"/>
        </w:rPr>
        <w:t>Questo aspetto non riflette elementi di mera valutazione di opportunità o solidaristici, ma deriva proprio dalle caratteristiche intrinseche del servizio di igiene urbana i cui benefici promanano verso tutta la collettività, cittadini e imprese</w:t>
      </w:r>
      <w:r w:rsidR="005D1330">
        <w:rPr>
          <w:rFonts w:ascii="Bookman Old Style" w:hAnsi="Bookman Old Style"/>
        </w:rPr>
        <w:t>,</w:t>
      </w:r>
      <w:r w:rsidR="00D5592F">
        <w:rPr>
          <w:rFonts w:ascii="Bookman Old Style" w:hAnsi="Bookman Old Style"/>
        </w:rPr>
        <w:t xml:space="preserve"> </w:t>
      </w:r>
      <w:r w:rsidR="00496C42">
        <w:rPr>
          <w:rFonts w:ascii="Bookman Old Style" w:hAnsi="Bookman Old Style"/>
        </w:rPr>
        <w:t>anche a prescindere dalla misura della produzione di rifiuti di ciascun soggetto.</w:t>
      </w:r>
    </w:p>
    <w:p w14:paraId="146A74AD" w14:textId="4D3326DB" w:rsidR="009D5D62" w:rsidRDefault="00496C42" w:rsidP="009D5D62">
      <w:pPr>
        <w:jc w:val="both"/>
        <w:rPr>
          <w:rFonts w:ascii="Bookman Old Style" w:hAnsi="Bookman Old Style"/>
        </w:rPr>
      </w:pPr>
      <w:r>
        <w:rPr>
          <w:rFonts w:ascii="Bookman Old Style" w:hAnsi="Bookman Old Style"/>
        </w:rPr>
        <w:lastRenderedPageBreak/>
        <w:t xml:space="preserve">La </w:t>
      </w:r>
      <w:r w:rsidR="009D60D1">
        <w:rPr>
          <w:rFonts w:ascii="Bookman Old Style" w:hAnsi="Bookman Old Style"/>
        </w:rPr>
        <w:t xml:space="preserve">giurisprudenza di legittimità, </w:t>
      </w:r>
      <w:r>
        <w:rPr>
          <w:rFonts w:ascii="Bookman Old Style" w:hAnsi="Bookman Old Style"/>
        </w:rPr>
        <w:t xml:space="preserve">infatti, </w:t>
      </w:r>
      <w:r w:rsidR="009D5D62" w:rsidRPr="009D5D62">
        <w:rPr>
          <w:rFonts w:ascii="Bookman Old Style" w:hAnsi="Bookman Old Style"/>
        </w:rPr>
        <w:t>supera</w:t>
      </w:r>
      <w:r>
        <w:rPr>
          <w:rFonts w:ascii="Bookman Old Style" w:hAnsi="Bookman Old Style"/>
        </w:rPr>
        <w:t>ndo</w:t>
      </w:r>
      <w:r w:rsidR="009D5D62" w:rsidRPr="009D5D62">
        <w:rPr>
          <w:rFonts w:ascii="Bookman Old Style" w:hAnsi="Bookman Old Style"/>
        </w:rPr>
        <w:t xml:space="preserve"> l’esenzione totale che era stata riconosciuta in passato per le superfici produttive di rifiuti speciali, </w:t>
      </w:r>
      <w:r w:rsidR="009D5D62" w:rsidRPr="009D5D62">
        <w:rPr>
          <w:rFonts w:ascii="Bookman Old Style" w:hAnsi="Bookman Old Style"/>
          <w:b/>
          <w:bCs/>
        </w:rPr>
        <w:t>riconosce</w:t>
      </w:r>
      <w:r>
        <w:rPr>
          <w:rFonts w:ascii="Bookman Old Style" w:hAnsi="Bookman Old Style"/>
          <w:b/>
          <w:bCs/>
        </w:rPr>
        <w:t xml:space="preserve"> </w:t>
      </w:r>
      <w:r w:rsidR="009D5D62" w:rsidRPr="009D5D62">
        <w:rPr>
          <w:rFonts w:ascii="Bookman Old Style" w:hAnsi="Bookman Old Style"/>
          <w:b/>
          <w:bCs/>
        </w:rPr>
        <w:t xml:space="preserve">la necessità di contribuire ai </w:t>
      </w:r>
      <w:r w:rsidR="0039207C">
        <w:rPr>
          <w:rFonts w:ascii="Bookman Old Style" w:hAnsi="Bookman Old Style"/>
          <w:b/>
          <w:bCs/>
        </w:rPr>
        <w:t>“</w:t>
      </w:r>
      <w:r w:rsidR="00DA3AA0" w:rsidRPr="005D1330">
        <w:rPr>
          <w:rFonts w:ascii="Bookman Old Style" w:hAnsi="Bookman Old Style"/>
          <w:b/>
          <w:i/>
        </w:rPr>
        <w:t xml:space="preserve">costi essenziali e generali di investimento e servizio nell' interesse dell'intera collettività e dunque indipendentemente dalla qualità e quantità dei </w:t>
      </w:r>
      <w:proofErr w:type="spellStart"/>
      <w:r w:rsidR="00DA3AA0" w:rsidRPr="005D1330">
        <w:rPr>
          <w:rFonts w:ascii="Bookman Old Style" w:hAnsi="Bookman Old Style"/>
          <w:b/>
          <w:i/>
        </w:rPr>
        <w:t>riﬁuti</w:t>
      </w:r>
      <w:proofErr w:type="spellEnd"/>
      <w:r w:rsidR="00DA3AA0" w:rsidRPr="005D1330">
        <w:rPr>
          <w:rFonts w:ascii="Bookman Old Style" w:hAnsi="Bookman Old Style"/>
          <w:b/>
          <w:i/>
        </w:rPr>
        <w:t xml:space="preserve"> prodotti, così come dall'oggettiva volontaria fruizione del servizio comunale, purché effettivamente apprestato e messo a disposizione della collettività</w:t>
      </w:r>
      <w:r w:rsidR="00DA3AA0" w:rsidRPr="00AE3934">
        <w:rPr>
          <w:rFonts w:ascii="Bookman Old Style" w:hAnsi="Bookman Old Style"/>
        </w:rPr>
        <w:t>»</w:t>
      </w:r>
      <w:r w:rsidR="005D1330">
        <w:rPr>
          <w:rFonts w:ascii="Bookman Old Style" w:hAnsi="Bookman Old Style"/>
        </w:rPr>
        <w:t xml:space="preserve"> (</w:t>
      </w:r>
      <w:r w:rsidR="005D1330" w:rsidRPr="005D1330">
        <w:rPr>
          <w:rFonts w:ascii="Bookman Old Style" w:hAnsi="Bookman Old Style"/>
        </w:rPr>
        <w:t xml:space="preserve">Cassazione, </w:t>
      </w:r>
      <w:proofErr w:type="spellStart"/>
      <w:r w:rsidR="005D1330" w:rsidRPr="005D1330">
        <w:rPr>
          <w:rFonts w:ascii="Bookman Old Style" w:hAnsi="Bookman Old Style"/>
        </w:rPr>
        <w:t>Ord</w:t>
      </w:r>
      <w:proofErr w:type="spellEnd"/>
      <w:r w:rsidR="005D1330" w:rsidRPr="005D1330">
        <w:rPr>
          <w:rFonts w:ascii="Bookman Old Style" w:hAnsi="Bookman Old Style"/>
        </w:rPr>
        <w:t xml:space="preserve">. </w:t>
      </w:r>
      <w:r w:rsidR="005D1330" w:rsidRPr="005D1330">
        <w:rPr>
          <w:rFonts w:ascii="Bookman Old Style" w:hAnsi="Bookman Old Style"/>
        </w:rPr>
        <w:t>n. 13455 del 15/05/2024</w:t>
      </w:r>
      <w:r w:rsidR="005D1330" w:rsidRPr="005D1330">
        <w:rPr>
          <w:rFonts w:ascii="Bookman Old Style" w:hAnsi="Bookman Old Style"/>
        </w:rPr>
        <w:t>)</w:t>
      </w:r>
      <w:r w:rsidR="00DA3AA0" w:rsidRPr="005D1330">
        <w:rPr>
          <w:rFonts w:ascii="Bookman Old Style" w:hAnsi="Bookman Old Style"/>
        </w:rPr>
        <w:t>.</w:t>
      </w:r>
      <w:r w:rsidR="00DA3AA0" w:rsidRPr="00DA3AA0">
        <w:rPr>
          <w:rFonts w:ascii="Bookman Old Style" w:hAnsi="Bookman Old Style"/>
        </w:rPr>
        <w:t xml:space="preserve"> </w:t>
      </w:r>
      <w:r w:rsidR="009D5D62" w:rsidRPr="009D5D62">
        <w:rPr>
          <w:rFonts w:ascii="Bookman Old Style" w:hAnsi="Bookman Old Style"/>
        </w:rPr>
        <w:t>Sul punto</w:t>
      </w:r>
      <w:r w:rsidR="00F72196">
        <w:rPr>
          <w:rFonts w:ascii="Bookman Old Style" w:hAnsi="Bookman Old Style"/>
        </w:rPr>
        <w:t>,</w:t>
      </w:r>
      <w:r w:rsidR="009D5D62" w:rsidRPr="009D5D62">
        <w:rPr>
          <w:rFonts w:ascii="Bookman Old Style" w:hAnsi="Bookman Old Style"/>
        </w:rPr>
        <w:t xml:space="preserve"> </w:t>
      </w:r>
      <w:r w:rsidR="009D5D62" w:rsidRPr="009D5D62">
        <w:rPr>
          <w:rFonts w:ascii="Bookman Old Style" w:hAnsi="Bookman Old Style"/>
          <w:b/>
          <w:bCs/>
        </w:rPr>
        <w:t>la Corte di Cassazione ha dapprima espresso e poi consolidato l’orientamento secondo cui sulle superfici dove si producono rifiuti speciali, anche se gestiti a cura e spese del produttore, è comunque dovuta la quota fissa della TARI</w:t>
      </w:r>
      <w:r w:rsidR="009D5D62" w:rsidRPr="009D5D62">
        <w:rPr>
          <w:rFonts w:ascii="Bookman Old Style" w:hAnsi="Bookman Old Style"/>
        </w:rPr>
        <w:t xml:space="preserve">. </w:t>
      </w:r>
    </w:p>
    <w:p w14:paraId="4D85C175" w14:textId="067338CF" w:rsidR="00516CA8" w:rsidRPr="00516CA8" w:rsidRDefault="00516CA8" w:rsidP="00496C42">
      <w:pPr>
        <w:pStyle w:val="Testonotaapidipagina"/>
        <w:jc w:val="both"/>
        <w:rPr>
          <w:rFonts w:ascii="Bookman Old Style" w:hAnsi="Bookman Old Style"/>
          <w:sz w:val="22"/>
          <w:szCs w:val="22"/>
        </w:rPr>
      </w:pPr>
      <w:r w:rsidRPr="00516CA8">
        <w:rPr>
          <w:rFonts w:ascii="Bookman Old Style" w:hAnsi="Bookman Old Style"/>
          <w:sz w:val="22"/>
          <w:szCs w:val="22"/>
        </w:rPr>
        <w:t xml:space="preserve">Sempre dall’Ordinanza </w:t>
      </w:r>
      <w:r w:rsidR="00496C42" w:rsidRPr="00516CA8">
        <w:rPr>
          <w:rFonts w:ascii="Bookman Old Style" w:hAnsi="Bookman Old Style"/>
          <w:sz w:val="22"/>
          <w:szCs w:val="22"/>
        </w:rPr>
        <w:t xml:space="preserve">15/05/2024, n. 13455, </w:t>
      </w:r>
      <w:r w:rsidRPr="00516CA8">
        <w:rPr>
          <w:rFonts w:ascii="Bookman Old Style" w:hAnsi="Bookman Old Style"/>
          <w:sz w:val="22"/>
          <w:szCs w:val="22"/>
        </w:rPr>
        <w:t>si traggono ulteriori importanti puntualizzazioni:</w:t>
      </w:r>
    </w:p>
    <w:p w14:paraId="6DCE5576" w14:textId="5CBB3327" w:rsidR="00496C42" w:rsidRPr="00516CA8" w:rsidRDefault="00496C42" w:rsidP="00516CA8">
      <w:pPr>
        <w:pStyle w:val="Testonotaapidipagina"/>
        <w:ind w:left="284"/>
        <w:jc w:val="both"/>
        <w:rPr>
          <w:rFonts w:ascii="Bookman Old Style" w:hAnsi="Bookman Old Style"/>
          <w:sz w:val="22"/>
          <w:szCs w:val="22"/>
        </w:rPr>
      </w:pPr>
      <w:r w:rsidRPr="00516CA8">
        <w:rPr>
          <w:rFonts w:ascii="Bookman Old Style" w:hAnsi="Bookman Old Style"/>
          <w:sz w:val="22"/>
          <w:szCs w:val="22"/>
        </w:rPr>
        <w:t>«</w:t>
      </w:r>
      <w:r w:rsidR="00516CA8" w:rsidRPr="00516CA8">
        <w:rPr>
          <w:rFonts w:ascii="Bookman Old Style" w:hAnsi="Bookman Old Style"/>
          <w:sz w:val="22"/>
          <w:szCs w:val="22"/>
        </w:rPr>
        <w:t xml:space="preserve">… </w:t>
      </w:r>
      <w:r w:rsidRPr="00516CA8">
        <w:rPr>
          <w:rFonts w:ascii="Bookman Old Style" w:hAnsi="Bookman Old Style"/>
          <w:i/>
          <w:sz w:val="22"/>
          <w:szCs w:val="22"/>
        </w:rPr>
        <w:t xml:space="preserve">si e, ancora, precisato che la tassa in questione è doppiamente strutturata: a) in una parte variabile, non dovuta allorquando il contribuente provi di produrre esclusivamente </w:t>
      </w:r>
      <w:proofErr w:type="spellStart"/>
      <w:r w:rsidRPr="00516CA8">
        <w:rPr>
          <w:rFonts w:ascii="Bookman Old Style" w:hAnsi="Bookman Old Style"/>
          <w:i/>
          <w:sz w:val="22"/>
          <w:szCs w:val="22"/>
        </w:rPr>
        <w:t>riﬁuti</w:t>
      </w:r>
      <w:proofErr w:type="spellEnd"/>
      <w:r w:rsidRPr="00516CA8">
        <w:rPr>
          <w:rFonts w:ascii="Bookman Old Style" w:hAnsi="Bookman Old Style"/>
          <w:i/>
          <w:sz w:val="22"/>
          <w:szCs w:val="22"/>
        </w:rPr>
        <w:t xml:space="preserve"> speciali non assimilabili o comunque non assimilati e smaltiti autonomamente a mezzo di ditte esterne autorizzate; b) in una parte </w:t>
      </w:r>
      <w:proofErr w:type="spellStart"/>
      <w:r w:rsidRPr="00516CA8">
        <w:rPr>
          <w:rFonts w:ascii="Bookman Old Style" w:hAnsi="Bookman Old Style"/>
          <w:i/>
          <w:sz w:val="22"/>
          <w:szCs w:val="22"/>
        </w:rPr>
        <w:t>ﬁssa</w:t>
      </w:r>
      <w:proofErr w:type="spellEnd"/>
      <w:r w:rsidRPr="00516CA8">
        <w:rPr>
          <w:rFonts w:ascii="Bookman Old Style" w:hAnsi="Bookman Old Style"/>
          <w:i/>
          <w:sz w:val="22"/>
          <w:szCs w:val="22"/>
        </w:rPr>
        <w:t xml:space="preserve">, sempre dovuta invece per intero, sulla base del mero presupposto del possesso o detenzione di </w:t>
      </w:r>
      <w:proofErr w:type="spellStart"/>
      <w:r w:rsidRPr="00516CA8">
        <w:rPr>
          <w:rFonts w:ascii="Bookman Old Style" w:hAnsi="Bookman Old Style"/>
          <w:i/>
          <w:sz w:val="22"/>
          <w:szCs w:val="22"/>
        </w:rPr>
        <w:t>superﬁci</w:t>
      </w:r>
      <w:proofErr w:type="spellEnd"/>
      <w:r w:rsidRPr="00516CA8">
        <w:rPr>
          <w:rFonts w:ascii="Bookman Old Style" w:hAnsi="Bookman Old Style"/>
          <w:i/>
          <w:sz w:val="22"/>
          <w:szCs w:val="22"/>
        </w:rPr>
        <w:t xml:space="preserve"> nel territorio comunale astrattamente idonee alla produzione di rifiuti, in quanto astrattamente idonee ad ospitare attività antropiche inquinanti e, dunque, a costituire un carico per il gestore del servizio, essendo </w:t>
      </w:r>
      <w:r w:rsidRPr="00516CA8">
        <w:rPr>
          <w:rFonts w:ascii="Bookman Old Style" w:hAnsi="Bookman Old Style"/>
          <w:b/>
          <w:i/>
          <w:sz w:val="22"/>
          <w:szCs w:val="22"/>
          <w:u w:val="single"/>
        </w:rPr>
        <w:t xml:space="preserve">essa destinata a </w:t>
      </w:r>
      <w:proofErr w:type="spellStart"/>
      <w:r w:rsidRPr="00516CA8">
        <w:rPr>
          <w:rFonts w:ascii="Bookman Old Style" w:hAnsi="Bookman Old Style"/>
          <w:b/>
          <w:i/>
          <w:sz w:val="22"/>
          <w:szCs w:val="22"/>
          <w:u w:val="single"/>
        </w:rPr>
        <w:t>ﬁnanziare</w:t>
      </w:r>
      <w:proofErr w:type="spellEnd"/>
      <w:r w:rsidRPr="00516CA8">
        <w:rPr>
          <w:rFonts w:ascii="Bookman Old Style" w:hAnsi="Bookman Old Style"/>
          <w:b/>
          <w:i/>
          <w:sz w:val="22"/>
          <w:szCs w:val="22"/>
          <w:u w:val="single"/>
        </w:rPr>
        <w:t xml:space="preserve"> i costi essenziali e generali di investimento e servizio nell' interesse dell'intera collettività e dunque indipendentemente dalla qualità e quantità dei </w:t>
      </w:r>
      <w:proofErr w:type="spellStart"/>
      <w:r w:rsidRPr="00516CA8">
        <w:rPr>
          <w:rFonts w:ascii="Bookman Old Style" w:hAnsi="Bookman Old Style"/>
          <w:b/>
          <w:i/>
          <w:sz w:val="22"/>
          <w:szCs w:val="22"/>
          <w:u w:val="single"/>
        </w:rPr>
        <w:t>riﬁuti</w:t>
      </w:r>
      <w:proofErr w:type="spellEnd"/>
      <w:r w:rsidRPr="00516CA8">
        <w:rPr>
          <w:rFonts w:ascii="Bookman Old Style" w:hAnsi="Bookman Old Style"/>
          <w:b/>
          <w:i/>
          <w:sz w:val="22"/>
          <w:szCs w:val="22"/>
          <w:u w:val="single"/>
        </w:rPr>
        <w:t xml:space="preserve"> prodotti, così come dall'oggettiva volontaria fruizione del servizio comunale, purché effettivamente apprestato e messo a disposizione della collettività</w:t>
      </w:r>
      <w:r w:rsidRPr="00516CA8">
        <w:rPr>
          <w:rFonts w:ascii="Bookman Old Style" w:hAnsi="Bookman Old Style"/>
          <w:sz w:val="22"/>
          <w:szCs w:val="22"/>
        </w:rPr>
        <w:t>».</w:t>
      </w:r>
    </w:p>
    <w:p w14:paraId="4A15D103" w14:textId="77777777" w:rsidR="00516CA8" w:rsidRDefault="00516CA8" w:rsidP="00496C42">
      <w:pPr>
        <w:pStyle w:val="Testonotaapidipagina"/>
        <w:jc w:val="both"/>
        <w:rPr>
          <w:rFonts w:ascii="Bookman Old Style" w:hAnsi="Bookman Old Style"/>
          <w:sz w:val="22"/>
          <w:szCs w:val="22"/>
        </w:rPr>
      </w:pPr>
      <w:r>
        <w:rPr>
          <w:rFonts w:ascii="Bookman Old Style" w:hAnsi="Bookman Old Style"/>
          <w:sz w:val="22"/>
          <w:szCs w:val="22"/>
        </w:rPr>
        <w:t xml:space="preserve">Inoltre, </w:t>
      </w:r>
      <w:r w:rsidR="00496C42" w:rsidRPr="00516CA8">
        <w:rPr>
          <w:rFonts w:ascii="Bookman Old Style" w:hAnsi="Bookman Old Style"/>
          <w:sz w:val="22"/>
          <w:szCs w:val="22"/>
        </w:rPr>
        <w:t xml:space="preserve">oltre a riportare ampie motivazioni sulla non condivisibilità dell’opposto orientamento espresso da una parte della dottrina, </w:t>
      </w:r>
      <w:r>
        <w:rPr>
          <w:rFonts w:ascii="Bookman Old Style" w:hAnsi="Bookman Old Style"/>
          <w:sz w:val="22"/>
          <w:szCs w:val="22"/>
        </w:rPr>
        <w:t xml:space="preserve">la pronuncia </w:t>
      </w:r>
      <w:r w:rsidR="00496C42" w:rsidRPr="00516CA8">
        <w:rPr>
          <w:rFonts w:ascii="Bookman Old Style" w:hAnsi="Bookman Old Style"/>
          <w:sz w:val="22"/>
          <w:szCs w:val="22"/>
        </w:rPr>
        <w:t xml:space="preserve">osserva: </w:t>
      </w:r>
    </w:p>
    <w:p w14:paraId="1FB19039" w14:textId="6A4AB14B" w:rsidR="00496C42" w:rsidRPr="00516CA8" w:rsidRDefault="00496C42" w:rsidP="00516CA8">
      <w:pPr>
        <w:pStyle w:val="Testonotaapidipagina"/>
        <w:ind w:left="284"/>
        <w:jc w:val="both"/>
        <w:rPr>
          <w:rFonts w:ascii="Bookman Old Style" w:hAnsi="Bookman Old Style"/>
          <w:sz w:val="22"/>
          <w:szCs w:val="22"/>
        </w:rPr>
      </w:pPr>
      <w:r w:rsidRPr="00516CA8">
        <w:rPr>
          <w:rFonts w:ascii="Bookman Old Style" w:hAnsi="Bookman Old Style"/>
          <w:sz w:val="22"/>
          <w:szCs w:val="22"/>
        </w:rPr>
        <w:t>«</w:t>
      </w:r>
      <w:r w:rsidRPr="00516CA8">
        <w:rPr>
          <w:rFonts w:ascii="Bookman Old Style" w:hAnsi="Bookman Old Style"/>
          <w:i/>
          <w:sz w:val="22"/>
          <w:szCs w:val="22"/>
        </w:rPr>
        <w:t xml:space="preserve">Ciò vuol dire che, nel sistema delineato dal legislatore, la quota </w:t>
      </w:r>
      <w:proofErr w:type="spellStart"/>
      <w:r w:rsidRPr="00516CA8">
        <w:rPr>
          <w:rFonts w:ascii="Bookman Old Style" w:hAnsi="Bookman Old Style"/>
          <w:i/>
          <w:sz w:val="22"/>
          <w:szCs w:val="22"/>
        </w:rPr>
        <w:t>ﬁssa</w:t>
      </w:r>
      <w:proofErr w:type="spellEnd"/>
      <w:r w:rsidRPr="00516CA8">
        <w:rPr>
          <w:rFonts w:ascii="Bookman Old Style" w:hAnsi="Bookman Old Style"/>
          <w:i/>
          <w:sz w:val="22"/>
          <w:szCs w:val="22"/>
        </w:rPr>
        <w:t xml:space="preserve"> e la quota variabile devono coprire integralmente i costi sopportati per la gestione del ciclo dei </w:t>
      </w:r>
      <w:proofErr w:type="spellStart"/>
      <w:r w:rsidRPr="00516CA8">
        <w:rPr>
          <w:rFonts w:ascii="Bookman Old Style" w:hAnsi="Bookman Old Style"/>
          <w:i/>
          <w:sz w:val="22"/>
          <w:szCs w:val="22"/>
        </w:rPr>
        <w:t>riﬁuti</w:t>
      </w:r>
      <w:proofErr w:type="spellEnd"/>
      <w:r w:rsidRPr="00516CA8">
        <w:rPr>
          <w:rFonts w:ascii="Bookman Old Style" w:hAnsi="Bookman Old Style"/>
          <w:i/>
          <w:sz w:val="22"/>
          <w:szCs w:val="22"/>
        </w:rPr>
        <w:t xml:space="preserve">, sia per gli investimenti effettuati sia per l'esercizio del servizio. Inoltre, sempre secondo quanto si ricava dalla norma, la quota </w:t>
      </w:r>
      <w:proofErr w:type="spellStart"/>
      <w:r w:rsidRPr="00516CA8">
        <w:rPr>
          <w:rFonts w:ascii="Bookman Old Style" w:hAnsi="Bookman Old Style"/>
          <w:i/>
          <w:sz w:val="22"/>
          <w:szCs w:val="22"/>
        </w:rPr>
        <w:t>ﬁssa</w:t>
      </w:r>
      <w:proofErr w:type="spellEnd"/>
      <w:r w:rsidRPr="00516CA8">
        <w:rPr>
          <w:rFonts w:ascii="Bookman Old Style" w:hAnsi="Bookman Old Style"/>
          <w:i/>
          <w:sz w:val="22"/>
          <w:szCs w:val="22"/>
        </w:rPr>
        <w:t xml:space="preserve"> incide in misura predeterminata, avendo la funzione di assicurare la copertura degli investimenti, laddove la quota variabile è determinata per ciascuna tipologia di utente in ragione della quantità dei </w:t>
      </w:r>
      <w:proofErr w:type="spellStart"/>
      <w:r w:rsidRPr="00516CA8">
        <w:rPr>
          <w:rFonts w:ascii="Bookman Old Style" w:hAnsi="Bookman Old Style"/>
          <w:i/>
          <w:sz w:val="22"/>
          <w:szCs w:val="22"/>
        </w:rPr>
        <w:t>riﬁuti</w:t>
      </w:r>
      <w:proofErr w:type="spellEnd"/>
      <w:r w:rsidRPr="00516CA8">
        <w:rPr>
          <w:rFonts w:ascii="Bookman Old Style" w:hAnsi="Bookman Old Style"/>
          <w:i/>
          <w:sz w:val="22"/>
          <w:szCs w:val="22"/>
        </w:rPr>
        <w:t xml:space="preserve"> conferiti, al servizio fruito e così via. </w:t>
      </w:r>
      <w:r w:rsidRPr="006D5B03">
        <w:rPr>
          <w:rFonts w:ascii="Bookman Old Style" w:hAnsi="Bookman Old Style"/>
          <w:b/>
          <w:i/>
          <w:sz w:val="22"/>
          <w:szCs w:val="22"/>
        </w:rPr>
        <w:t xml:space="preserve">Sarebbe, per vero, del tutto illogico esentare dal versamento della quota </w:t>
      </w:r>
      <w:proofErr w:type="spellStart"/>
      <w:r w:rsidRPr="006D5B03">
        <w:rPr>
          <w:rFonts w:ascii="Bookman Old Style" w:hAnsi="Bookman Old Style"/>
          <w:b/>
          <w:i/>
          <w:sz w:val="22"/>
          <w:szCs w:val="22"/>
        </w:rPr>
        <w:t>ﬁssa</w:t>
      </w:r>
      <w:proofErr w:type="spellEnd"/>
      <w:r w:rsidRPr="006D5B03">
        <w:rPr>
          <w:rFonts w:ascii="Bookman Old Style" w:hAnsi="Bookman Old Style"/>
          <w:b/>
          <w:i/>
          <w:sz w:val="22"/>
          <w:szCs w:val="22"/>
        </w:rPr>
        <w:t xml:space="preserve"> un operatore economico che, comunque, per conferire sicuramente al servizio pubblico almeno una parte dei </w:t>
      </w:r>
      <w:proofErr w:type="spellStart"/>
      <w:r w:rsidRPr="006D5B03">
        <w:rPr>
          <w:rFonts w:ascii="Bookman Old Style" w:hAnsi="Bookman Old Style"/>
          <w:b/>
          <w:i/>
          <w:sz w:val="22"/>
          <w:szCs w:val="22"/>
        </w:rPr>
        <w:t>riﬁuti</w:t>
      </w:r>
      <w:proofErr w:type="spellEnd"/>
      <w:r w:rsidRPr="006D5B03">
        <w:rPr>
          <w:rFonts w:ascii="Bookman Old Style" w:hAnsi="Bookman Old Style"/>
          <w:b/>
          <w:i/>
          <w:sz w:val="22"/>
          <w:szCs w:val="22"/>
        </w:rPr>
        <w:t xml:space="preserve"> prodotti (quelli derivanti da </w:t>
      </w:r>
      <w:proofErr w:type="spellStart"/>
      <w:r w:rsidRPr="006D5B03">
        <w:rPr>
          <w:rFonts w:ascii="Bookman Old Style" w:hAnsi="Bookman Old Style"/>
          <w:b/>
          <w:i/>
          <w:sz w:val="22"/>
          <w:szCs w:val="22"/>
        </w:rPr>
        <w:t>ufﬁci</w:t>
      </w:r>
      <w:proofErr w:type="spellEnd"/>
      <w:r w:rsidRPr="006D5B03">
        <w:rPr>
          <w:rFonts w:ascii="Bookman Old Style" w:hAnsi="Bookman Old Style"/>
          <w:b/>
          <w:i/>
          <w:sz w:val="22"/>
          <w:szCs w:val="22"/>
        </w:rPr>
        <w:t xml:space="preserve"> e servizi), ritrae dagli investimenti eseguiti per la gestione del ciclo dei </w:t>
      </w:r>
      <w:proofErr w:type="spellStart"/>
      <w:r w:rsidRPr="006D5B03">
        <w:rPr>
          <w:rFonts w:ascii="Bookman Old Style" w:hAnsi="Bookman Old Style"/>
          <w:b/>
          <w:i/>
          <w:sz w:val="22"/>
          <w:szCs w:val="22"/>
        </w:rPr>
        <w:t>riﬁuti</w:t>
      </w:r>
      <w:proofErr w:type="spellEnd"/>
      <w:r w:rsidRPr="006D5B03">
        <w:rPr>
          <w:rFonts w:ascii="Bookman Old Style" w:hAnsi="Bookman Old Style"/>
          <w:b/>
          <w:i/>
          <w:sz w:val="22"/>
          <w:szCs w:val="22"/>
        </w:rPr>
        <w:t xml:space="preserve"> una indubbia utilità</w:t>
      </w:r>
      <w:r w:rsidRPr="006D5B03">
        <w:rPr>
          <w:rFonts w:ascii="Bookman Old Style" w:hAnsi="Bookman Old Style"/>
          <w:i/>
          <w:sz w:val="22"/>
          <w:szCs w:val="22"/>
        </w:rPr>
        <w:t xml:space="preserve">. Diversamente opinando, </w:t>
      </w:r>
      <w:r w:rsidRPr="006D5B03">
        <w:rPr>
          <w:rFonts w:ascii="Bookman Old Style" w:hAnsi="Bookman Old Style"/>
          <w:b/>
          <w:i/>
          <w:sz w:val="22"/>
          <w:szCs w:val="22"/>
        </w:rPr>
        <w:t>la norma non potrebbe andare esente da concreti dubbi di illegittimità costituzionale per violazione degli art. 3 e 53 Cost., risultando del tutto irrazionale una disposizione che esentasse totalmente dal pagamento della TARI soggetti che, comunque, fruiscono del relativo servizio.</w:t>
      </w:r>
      <w:r w:rsidRPr="006D5B03">
        <w:rPr>
          <w:rFonts w:ascii="Bookman Old Style" w:hAnsi="Bookman Old Style"/>
          <w:i/>
          <w:sz w:val="22"/>
          <w:szCs w:val="22"/>
        </w:rPr>
        <w:t xml:space="preserve"> E ciò tanto più se si considera che per legge (art. 1, co. 654, L. n. 147/2013) deve in ogni caso essere assicurata la copertura integrale dei costi di investimento e di esercizio relativi al servizio, </w:t>
      </w:r>
      <w:r w:rsidRPr="006D5B03">
        <w:rPr>
          <w:rFonts w:ascii="Bookman Old Style" w:hAnsi="Bookman Old Style"/>
          <w:b/>
          <w:i/>
          <w:sz w:val="22"/>
          <w:szCs w:val="22"/>
        </w:rPr>
        <w:t xml:space="preserve">e che, conseguentemente, la parte di quota fissa non gravante sui produttori anche di </w:t>
      </w:r>
      <w:proofErr w:type="spellStart"/>
      <w:r w:rsidRPr="006D5B03">
        <w:rPr>
          <w:rFonts w:ascii="Bookman Old Style" w:hAnsi="Bookman Old Style"/>
          <w:b/>
          <w:i/>
          <w:sz w:val="22"/>
          <w:szCs w:val="22"/>
        </w:rPr>
        <w:t>riﬁuti</w:t>
      </w:r>
      <w:proofErr w:type="spellEnd"/>
      <w:r w:rsidRPr="006D5B03">
        <w:rPr>
          <w:rFonts w:ascii="Bookman Old Style" w:hAnsi="Bookman Old Style"/>
          <w:b/>
          <w:i/>
          <w:sz w:val="22"/>
          <w:szCs w:val="22"/>
        </w:rPr>
        <w:t xml:space="preserve"> speciali </w:t>
      </w:r>
      <w:proofErr w:type="spellStart"/>
      <w:r w:rsidRPr="006D5B03">
        <w:rPr>
          <w:rFonts w:ascii="Bookman Old Style" w:hAnsi="Bookman Old Style"/>
          <w:b/>
          <w:i/>
          <w:sz w:val="22"/>
          <w:szCs w:val="22"/>
        </w:rPr>
        <w:t>ﬁnirebbe</w:t>
      </w:r>
      <w:proofErr w:type="spellEnd"/>
      <w:r w:rsidRPr="006D5B03">
        <w:rPr>
          <w:rFonts w:ascii="Bookman Old Style" w:hAnsi="Bookman Old Style"/>
          <w:b/>
          <w:i/>
          <w:sz w:val="22"/>
          <w:szCs w:val="22"/>
        </w:rPr>
        <w:t xml:space="preserve"> per ricadere sulle altre utenze e specialmente sulle utenze domestiche</w:t>
      </w:r>
      <w:r w:rsidRPr="006D5B03">
        <w:rPr>
          <w:rFonts w:ascii="Bookman Old Style" w:hAnsi="Bookman Old Style"/>
          <w:sz w:val="22"/>
          <w:szCs w:val="22"/>
        </w:rPr>
        <w:t>».</w:t>
      </w:r>
    </w:p>
    <w:p w14:paraId="10FF2568" w14:textId="2B97D801" w:rsidR="00516CA8" w:rsidRPr="00516CA8" w:rsidRDefault="00516CA8" w:rsidP="00516CA8">
      <w:pPr>
        <w:jc w:val="both"/>
        <w:rPr>
          <w:rFonts w:ascii="Bookman Old Style" w:hAnsi="Bookman Old Style"/>
        </w:rPr>
      </w:pPr>
      <w:r w:rsidRPr="00516CA8">
        <w:rPr>
          <w:rFonts w:ascii="Bookman Old Style" w:hAnsi="Bookman Old Style"/>
        </w:rPr>
        <w:t>L</w:t>
      </w:r>
      <w:r>
        <w:rPr>
          <w:rFonts w:ascii="Bookman Old Style" w:hAnsi="Bookman Old Style"/>
        </w:rPr>
        <w:t>a</w:t>
      </w:r>
      <w:r w:rsidRPr="00516CA8">
        <w:rPr>
          <w:rFonts w:ascii="Bookman Old Style" w:hAnsi="Bookman Old Style"/>
        </w:rPr>
        <w:t xml:space="preserve"> </w:t>
      </w:r>
      <w:r>
        <w:rPr>
          <w:rFonts w:ascii="Bookman Old Style" w:hAnsi="Bookman Old Style"/>
        </w:rPr>
        <w:t>Cassazione, con questa e con numerose altre concordi pronunce</w:t>
      </w:r>
      <w:r w:rsidR="005D1330" w:rsidRPr="00516CA8">
        <w:rPr>
          <w:rStyle w:val="Rimandonotaapidipagina"/>
          <w:rFonts w:ascii="Bookman Old Style" w:hAnsi="Bookman Old Style"/>
        </w:rPr>
        <w:footnoteReference w:id="1"/>
      </w:r>
      <w:r w:rsidR="006D5B03">
        <w:rPr>
          <w:rFonts w:ascii="Bookman Old Style" w:hAnsi="Bookman Old Style"/>
        </w:rPr>
        <w:t>,</w:t>
      </w:r>
      <w:r>
        <w:rPr>
          <w:rFonts w:ascii="Bookman Old Style" w:hAnsi="Bookman Old Style"/>
        </w:rPr>
        <w:t xml:space="preserve"> ha </w:t>
      </w:r>
      <w:r w:rsidRPr="00516CA8">
        <w:rPr>
          <w:rFonts w:ascii="Bookman Old Style" w:hAnsi="Bookman Old Style"/>
        </w:rPr>
        <w:t xml:space="preserve">dunque stabilito che l’esenzione dalla TARI per superfici produttive di rifiuti speciali riguarda solo la quota </w:t>
      </w:r>
      <w:r w:rsidRPr="00516CA8">
        <w:rPr>
          <w:rFonts w:ascii="Bookman Old Style" w:hAnsi="Bookman Old Style"/>
        </w:rPr>
        <w:lastRenderedPageBreak/>
        <w:t>variabile, mentre la quota fissa resta dovuta da tutti i possessori o detentori di superfici idonee alla produzione di rifiuti.</w:t>
      </w:r>
      <w:r w:rsidRPr="00516CA8">
        <w:rPr>
          <w:rFonts w:ascii="Bookman Old Style" w:hAnsi="Bookman Old Style"/>
        </w:rPr>
        <w:t xml:space="preserve"> </w:t>
      </w:r>
      <w:r w:rsidRPr="00516CA8">
        <w:rPr>
          <w:rFonts w:ascii="Bookman Old Style" w:hAnsi="Bookman Old Style"/>
        </w:rPr>
        <w:t xml:space="preserve">Considerato il numero di ricorsi pendenti innanzi la Corte di Cassazione, </w:t>
      </w:r>
      <w:r w:rsidRPr="00516CA8">
        <w:rPr>
          <w:rFonts w:ascii="Bookman Old Style" w:hAnsi="Bookman Old Style"/>
        </w:rPr>
        <w:t xml:space="preserve">l’ampiezza delle motivazioni </w:t>
      </w:r>
      <w:r w:rsidRPr="00516CA8">
        <w:rPr>
          <w:rFonts w:ascii="Bookman Old Style" w:hAnsi="Bookman Old Style"/>
        </w:rPr>
        <w:t>sopra riportat</w:t>
      </w:r>
      <w:r w:rsidRPr="00516CA8">
        <w:rPr>
          <w:rFonts w:ascii="Bookman Old Style" w:hAnsi="Bookman Old Style"/>
        </w:rPr>
        <w:t>e</w:t>
      </w:r>
      <w:r w:rsidRPr="00516CA8">
        <w:rPr>
          <w:rFonts w:ascii="Bookman Old Style" w:hAnsi="Bookman Old Style"/>
        </w:rPr>
        <w:t xml:space="preserve"> </w:t>
      </w:r>
      <w:r w:rsidRPr="00516CA8">
        <w:rPr>
          <w:rFonts w:ascii="Bookman Old Style" w:hAnsi="Bookman Old Style"/>
        </w:rPr>
        <w:t xml:space="preserve">rende prevedibile </w:t>
      </w:r>
      <w:r w:rsidRPr="00516CA8">
        <w:rPr>
          <w:rFonts w:ascii="Bookman Old Style" w:hAnsi="Bookman Old Style"/>
        </w:rPr>
        <w:t xml:space="preserve">che </w:t>
      </w:r>
      <w:r w:rsidRPr="00516CA8">
        <w:rPr>
          <w:rFonts w:ascii="Bookman Old Style" w:hAnsi="Bookman Old Style"/>
        </w:rPr>
        <w:t xml:space="preserve">interventi semplificativi </w:t>
      </w:r>
      <w:r w:rsidRPr="00516CA8">
        <w:rPr>
          <w:rFonts w:ascii="Bookman Old Style" w:hAnsi="Bookman Old Style"/>
        </w:rPr>
        <w:t xml:space="preserve">circa </w:t>
      </w:r>
      <w:r w:rsidRPr="00516CA8">
        <w:rPr>
          <w:rFonts w:ascii="Bookman Old Style" w:hAnsi="Bookman Old Style"/>
        </w:rPr>
        <w:t xml:space="preserve">l’esenzione </w:t>
      </w:r>
      <w:r w:rsidRPr="00516CA8">
        <w:rPr>
          <w:rFonts w:ascii="Bookman Old Style" w:hAnsi="Bookman Old Style"/>
        </w:rPr>
        <w:t xml:space="preserve">delle superfici produttive di rifiuti speciali anche </w:t>
      </w:r>
      <w:r w:rsidRPr="00516CA8">
        <w:rPr>
          <w:rFonts w:ascii="Bookman Old Style" w:hAnsi="Bookman Old Style"/>
        </w:rPr>
        <w:t>d</w:t>
      </w:r>
      <w:r w:rsidRPr="00516CA8">
        <w:rPr>
          <w:rFonts w:ascii="Bookman Old Style" w:hAnsi="Bookman Old Style"/>
        </w:rPr>
        <w:t xml:space="preserve">alla quota fissa </w:t>
      </w:r>
      <w:r w:rsidRPr="00516CA8">
        <w:rPr>
          <w:rFonts w:ascii="Bookman Old Style" w:hAnsi="Bookman Old Style"/>
        </w:rPr>
        <w:t xml:space="preserve">TARI </w:t>
      </w:r>
      <w:r w:rsidRPr="00516CA8">
        <w:rPr>
          <w:rFonts w:ascii="Bookman Old Style" w:hAnsi="Bookman Old Style"/>
          <w:bCs/>
        </w:rPr>
        <w:t xml:space="preserve">sarà posta all’attenzione della Corte </w:t>
      </w:r>
      <w:r w:rsidRPr="00516CA8">
        <w:rPr>
          <w:rFonts w:ascii="Bookman Old Style" w:hAnsi="Bookman Old Style"/>
          <w:bCs/>
        </w:rPr>
        <w:t>c</w:t>
      </w:r>
      <w:r w:rsidRPr="00516CA8">
        <w:rPr>
          <w:rFonts w:ascii="Bookman Old Style" w:hAnsi="Bookman Old Style"/>
          <w:bCs/>
        </w:rPr>
        <w:t>ostituzionale.</w:t>
      </w:r>
    </w:p>
    <w:p w14:paraId="530AC6CC" w14:textId="5D4AABC5" w:rsidR="009D5D62" w:rsidRPr="009D5D62" w:rsidRDefault="009D5D62" w:rsidP="009D5D62">
      <w:pPr>
        <w:jc w:val="both"/>
        <w:rPr>
          <w:rFonts w:ascii="Bookman Old Style" w:hAnsi="Bookman Old Style"/>
        </w:rPr>
      </w:pPr>
      <w:r w:rsidRPr="009D5D62">
        <w:rPr>
          <w:rFonts w:ascii="Bookman Old Style" w:hAnsi="Bookman Old Style"/>
        </w:rPr>
        <w:t xml:space="preserve">Il quadro applicativo che emerge dalle sentenze della Corte è </w:t>
      </w:r>
      <w:r w:rsidR="00516CA8">
        <w:rPr>
          <w:rFonts w:ascii="Bookman Old Style" w:hAnsi="Bookman Old Style"/>
        </w:rPr>
        <w:t xml:space="preserve">in sintesi </w:t>
      </w:r>
      <w:r w:rsidRPr="009D5D62">
        <w:rPr>
          <w:rFonts w:ascii="Bookman Old Style" w:hAnsi="Bookman Old Style"/>
        </w:rPr>
        <w:t>il seguente:</w:t>
      </w:r>
    </w:p>
    <w:p w14:paraId="5F79518E" w14:textId="77777777" w:rsidR="009D5D62" w:rsidRPr="009D5D62" w:rsidRDefault="009D5D62" w:rsidP="009D5D62">
      <w:pPr>
        <w:numPr>
          <w:ilvl w:val="0"/>
          <w:numId w:val="1"/>
        </w:numPr>
        <w:jc w:val="both"/>
        <w:rPr>
          <w:rFonts w:ascii="Bookman Old Style" w:hAnsi="Bookman Old Style"/>
        </w:rPr>
      </w:pPr>
      <w:r w:rsidRPr="009D5D62">
        <w:rPr>
          <w:rFonts w:ascii="Bookman Old Style" w:hAnsi="Bookman Old Style"/>
          <w:b/>
          <w:bCs/>
        </w:rPr>
        <w:t>Quota fissa</w:t>
      </w:r>
      <w:r w:rsidRPr="009D5D62">
        <w:rPr>
          <w:rFonts w:ascii="Bookman Old Style" w:hAnsi="Bookman Old Style"/>
        </w:rPr>
        <w:t>: è sempre dovuta anche per le superfici produttive di rifiuti speciali, perché copre i costi generali e indivisibili del servizio (come gestione amministrativa, spazzamento, recupero rifiuti abbandonati), di cui beneficiano tutte le utenze, anche quelle che non conferiscono rifiuti urbani al servizio pubblico.</w:t>
      </w:r>
    </w:p>
    <w:p w14:paraId="4C3A9F6F" w14:textId="77777777" w:rsidR="009D5D62" w:rsidRPr="009D5D62" w:rsidRDefault="009D5D62" w:rsidP="009D5D62">
      <w:pPr>
        <w:numPr>
          <w:ilvl w:val="0"/>
          <w:numId w:val="1"/>
        </w:numPr>
        <w:jc w:val="both"/>
        <w:rPr>
          <w:rFonts w:ascii="Bookman Old Style" w:hAnsi="Bookman Old Style"/>
        </w:rPr>
      </w:pPr>
      <w:r w:rsidRPr="009D5D62">
        <w:rPr>
          <w:rFonts w:ascii="Bookman Old Style" w:hAnsi="Bookman Old Style"/>
          <w:b/>
          <w:bCs/>
        </w:rPr>
        <w:t>Quota variabile</w:t>
      </w:r>
      <w:r w:rsidRPr="009D5D62">
        <w:rPr>
          <w:rFonts w:ascii="Bookman Old Style" w:hAnsi="Bookman Old Style"/>
        </w:rPr>
        <w:t>: può essere esclusa se il contribuente dimostra che in quelle aree si producono in via continuativa e prevalente solo rifiuti speciali, gestiti autonomamente.</w:t>
      </w:r>
    </w:p>
    <w:p w14:paraId="76E7FC72" w14:textId="14AC836E" w:rsidR="0001661E" w:rsidRPr="00010FAE" w:rsidRDefault="00DF58F5" w:rsidP="00EA03D3">
      <w:pPr>
        <w:jc w:val="both"/>
        <w:rPr>
          <w:rFonts w:ascii="Bookman Old Style" w:hAnsi="Bookman Old Style"/>
        </w:rPr>
      </w:pPr>
      <w:r>
        <w:rPr>
          <w:rFonts w:ascii="Bookman Old Style" w:hAnsi="Bookman Old Style"/>
        </w:rPr>
        <w:t xml:space="preserve">Per tutte </w:t>
      </w:r>
      <w:r w:rsidR="00E46BA0">
        <w:rPr>
          <w:rFonts w:ascii="Bookman Old Style" w:hAnsi="Bookman Old Style"/>
        </w:rPr>
        <w:t>le citate</w:t>
      </w:r>
      <w:r>
        <w:rPr>
          <w:rFonts w:ascii="Bookman Old Style" w:hAnsi="Bookman Old Style"/>
        </w:rPr>
        <w:t xml:space="preserve"> motivazioni, </w:t>
      </w:r>
      <w:r w:rsidRPr="002D1C03">
        <w:rPr>
          <w:rFonts w:ascii="Bookman Old Style" w:hAnsi="Bookman Old Style"/>
          <w:b/>
          <w:bCs/>
        </w:rPr>
        <w:t>l</w:t>
      </w:r>
      <w:r w:rsidR="00323B57" w:rsidRPr="002D1C03">
        <w:rPr>
          <w:rFonts w:ascii="Bookman Old Style" w:hAnsi="Bookman Old Style"/>
          <w:b/>
          <w:bCs/>
        </w:rPr>
        <w:t>’Anci resta</w:t>
      </w:r>
      <w:r w:rsidR="0001661E" w:rsidRPr="002D1C03">
        <w:rPr>
          <w:rFonts w:ascii="Bookman Old Style" w:hAnsi="Bookman Old Style"/>
          <w:b/>
          <w:bCs/>
        </w:rPr>
        <w:t xml:space="preserve"> convint</w:t>
      </w:r>
      <w:r w:rsidR="00323B57" w:rsidRPr="002D1C03">
        <w:rPr>
          <w:rFonts w:ascii="Bookman Old Style" w:hAnsi="Bookman Old Style"/>
          <w:b/>
          <w:bCs/>
        </w:rPr>
        <w:t>a</w:t>
      </w:r>
      <w:r w:rsidR="00311B17" w:rsidRPr="002D1C03">
        <w:rPr>
          <w:rFonts w:ascii="Bookman Old Style" w:hAnsi="Bookman Old Style"/>
          <w:b/>
          <w:bCs/>
        </w:rPr>
        <w:t xml:space="preserve"> </w:t>
      </w:r>
      <w:r w:rsidR="009D10B6" w:rsidRPr="002D1C03">
        <w:rPr>
          <w:rFonts w:ascii="Bookman Old Style" w:hAnsi="Bookman Old Style"/>
          <w:b/>
          <w:bCs/>
        </w:rPr>
        <w:t xml:space="preserve">della necessità </w:t>
      </w:r>
      <w:r w:rsidR="00311B17" w:rsidRPr="002D1C03">
        <w:rPr>
          <w:rFonts w:ascii="Bookman Old Style" w:hAnsi="Bookman Old Style"/>
          <w:b/>
          <w:bCs/>
        </w:rPr>
        <w:t xml:space="preserve">di una </w:t>
      </w:r>
      <w:r w:rsidR="0001661E" w:rsidRPr="002D1C03">
        <w:rPr>
          <w:rFonts w:ascii="Bookman Old Style" w:hAnsi="Bookman Old Style"/>
          <w:b/>
          <w:bCs/>
        </w:rPr>
        <w:t xml:space="preserve">indicazione uniforme sul territorio nazionale </w:t>
      </w:r>
      <w:r w:rsidR="004F7B84" w:rsidRPr="002D1C03">
        <w:rPr>
          <w:rFonts w:ascii="Bookman Old Style" w:hAnsi="Bookman Old Style"/>
          <w:b/>
          <w:bCs/>
        </w:rPr>
        <w:t xml:space="preserve">e </w:t>
      </w:r>
      <w:r w:rsidR="0001661E" w:rsidRPr="002D1C03">
        <w:rPr>
          <w:rFonts w:ascii="Bookman Old Style" w:hAnsi="Bookman Old Style"/>
          <w:b/>
          <w:bCs/>
        </w:rPr>
        <w:t xml:space="preserve">di un’urgente soluzione </w:t>
      </w:r>
      <w:r w:rsidR="005B16FD" w:rsidRPr="002D1C03">
        <w:rPr>
          <w:rFonts w:ascii="Bookman Old Style" w:hAnsi="Bookman Old Style"/>
          <w:b/>
          <w:bCs/>
        </w:rPr>
        <w:t xml:space="preserve">in grado di </w:t>
      </w:r>
      <w:r w:rsidR="0001661E" w:rsidRPr="002D1C03">
        <w:rPr>
          <w:rFonts w:ascii="Bookman Old Style" w:hAnsi="Bookman Old Style"/>
          <w:b/>
          <w:bCs/>
        </w:rPr>
        <w:t xml:space="preserve">garantire regolarità e certezza al settore, contemperando le scelte politiche ispirate all’economia circolare con </w:t>
      </w:r>
      <w:r w:rsidR="00E46BA0" w:rsidRPr="002D1C03">
        <w:rPr>
          <w:rFonts w:ascii="Bookman Old Style" w:hAnsi="Bookman Old Style"/>
          <w:b/>
          <w:bCs/>
        </w:rPr>
        <w:t>l’imprescindibile esigenza</w:t>
      </w:r>
      <w:r w:rsidR="0001661E" w:rsidRPr="002D1C03">
        <w:rPr>
          <w:rFonts w:ascii="Bookman Old Style" w:hAnsi="Bookman Old Style"/>
          <w:b/>
          <w:bCs/>
        </w:rPr>
        <w:t xml:space="preserve"> di </w:t>
      </w:r>
      <w:r w:rsidR="003072CA" w:rsidRPr="002D1C03">
        <w:rPr>
          <w:rFonts w:ascii="Bookman Old Style" w:hAnsi="Bookman Old Style"/>
          <w:b/>
          <w:bCs/>
        </w:rPr>
        <w:t>coprire</w:t>
      </w:r>
      <w:r w:rsidR="0001661E" w:rsidRPr="002D1C03">
        <w:rPr>
          <w:rFonts w:ascii="Bookman Old Style" w:hAnsi="Bookman Old Style"/>
          <w:b/>
          <w:bCs/>
        </w:rPr>
        <w:t xml:space="preserve"> </w:t>
      </w:r>
      <w:r w:rsidRPr="002D1C03">
        <w:rPr>
          <w:rFonts w:ascii="Bookman Old Style" w:hAnsi="Bookman Old Style"/>
          <w:b/>
          <w:bCs/>
        </w:rPr>
        <w:t>i costi legati al ciclo dei</w:t>
      </w:r>
      <w:r w:rsidR="0001661E" w:rsidRPr="002D1C03">
        <w:rPr>
          <w:rFonts w:ascii="Bookman Old Style" w:hAnsi="Bookman Old Style"/>
          <w:b/>
          <w:bCs/>
        </w:rPr>
        <w:t xml:space="preserve"> rifiuti</w:t>
      </w:r>
      <w:r w:rsidR="00A54E5C" w:rsidRPr="002D1C03">
        <w:rPr>
          <w:rFonts w:ascii="Bookman Old Style" w:hAnsi="Bookman Old Style"/>
          <w:b/>
          <w:bCs/>
        </w:rPr>
        <w:t xml:space="preserve"> </w:t>
      </w:r>
      <w:r w:rsidR="00F93B61" w:rsidRPr="002D1C03">
        <w:rPr>
          <w:rFonts w:ascii="Bookman Old Style" w:hAnsi="Bookman Old Style"/>
          <w:b/>
          <w:bCs/>
        </w:rPr>
        <w:t xml:space="preserve">con la tariffa </w:t>
      </w:r>
      <w:r w:rsidR="00F93B61" w:rsidRPr="00516CA8">
        <w:rPr>
          <w:rFonts w:ascii="Bookman Old Style" w:hAnsi="Bookman Old Style"/>
          <w:b/>
          <w:bCs/>
        </w:rPr>
        <w:t>a carico di tutte le attuali utenze del servizio</w:t>
      </w:r>
      <w:r w:rsidR="0001661E" w:rsidRPr="00516CA8">
        <w:rPr>
          <w:rFonts w:ascii="Bookman Old Style" w:hAnsi="Bookman Old Style"/>
        </w:rPr>
        <w:t>.</w:t>
      </w:r>
    </w:p>
    <w:p w14:paraId="40E687E2" w14:textId="61A277A2" w:rsidR="00F53405" w:rsidRPr="00FB3D8C" w:rsidRDefault="002E59F1" w:rsidP="00F53405">
      <w:pPr>
        <w:jc w:val="both"/>
        <w:rPr>
          <w:rFonts w:ascii="Bookman Old Style" w:hAnsi="Bookman Old Style"/>
        </w:rPr>
      </w:pPr>
      <w:r>
        <w:rPr>
          <w:rFonts w:ascii="Bookman Old Style" w:hAnsi="Bookman Old Style"/>
        </w:rPr>
        <w:t xml:space="preserve">Si rappresentano di seguito le criticità legate alla presente Proposta e </w:t>
      </w:r>
      <w:r w:rsidR="00F93B61">
        <w:rPr>
          <w:rFonts w:ascii="Bookman Old Style" w:hAnsi="Bookman Old Style"/>
        </w:rPr>
        <w:t xml:space="preserve">si propone un </w:t>
      </w:r>
      <w:r w:rsidR="0031452B">
        <w:rPr>
          <w:rFonts w:ascii="Bookman Old Style" w:hAnsi="Bookman Old Style"/>
        </w:rPr>
        <w:t>intervento alternativo (emerso in fase di confronto tecnico sull’attuazione della Delega fiscale)</w:t>
      </w:r>
      <w:r w:rsidR="00F93B61">
        <w:rPr>
          <w:rFonts w:ascii="Bookman Old Style" w:hAnsi="Bookman Old Style"/>
        </w:rPr>
        <w:t xml:space="preserve"> </w:t>
      </w:r>
      <w:r w:rsidR="00EA03D3">
        <w:rPr>
          <w:rFonts w:ascii="Bookman Old Style" w:hAnsi="Bookman Old Style"/>
        </w:rPr>
        <w:t xml:space="preserve">che </w:t>
      </w:r>
      <w:r w:rsidR="009C3304">
        <w:rPr>
          <w:rFonts w:ascii="Bookman Old Style" w:hAnsi="Bookman Old Style"/>
        </w:rPr>
        <w:t>consent</w:t>
      </w:r>
      <w:r w:rsidR="00204DDA">
        <w:rPr>
          <w:rFonts w:ascii="Bookman Old Style" w:hAnsi="Bookman Old Style"/>
        </w:rPr>
        <w:t>a</w:t>
      </w:r>
      <w:r w:rsidR="009C3304">
        <w:rPr>
          <w:rFonts w:ascii="Bookman Old Style" w:hAnsi="Bookman Old Style"/>
        </w:rPr>
        <w:t xml:space="preserve"> di</w:t>
      </w:r>
      <w:r w:rsidR="00F53405" w:rsidRPr="00FB3D8C">
        <w:rPr>
          <w:rFonts w:ascii="Bookman Old Style" w:hAnsi="Bookman Old Style"/>
        </w:rPr>
        <w:t xml:space="preserve"> giungere ad una corretta e coerente tassazione anche delle superfici produttive di rifiuti speciali</w:t>
      </w:r>
      <w:r w:rsidR="0031452B">
        <w:rPr>
          <w:rFonts w:ascii="Bookman Old Style" w:hAnsi="Bookman Old Style"/>
        </w:rPr>
        <w:t xml:space="preserve">, al fine di mitigare eventuali effetti di eccesso di prelievo dovuti all’applicazione della quota fissa, </w:t>
      </w:r>
      <w:r w:rsidR="00F53405" w:rsidRPr="00FB3D8C">
        <w:rPr>
          <w:rFonts w:ascii="Bookman Old Style" w:hAnsi="Bookman Old Style"/>
        </w:rPr>
        <w:t>calibra</w:t>
      </w:r>
      <w:r w:rsidR="0031452B">
        <w:rPr>
          <w:rFonts w:ascii="Bookman Old Style" w:hAnsi="Bookman Old Style"/>
        </w:rPr>
        <w:t xml:space="preserve">ndo </w:t>
      </w:r>
      <w:r w:rsidR="00F53405" w:rsidRPr="00FB3D8C">
        <w:rPr>
          <w:rFonts w:ascii="Bookman Old Style" w:hAnsi="Bookman Old Style"/>
        </w:rPr>
        <w:t>meglio sulla platea dei contribuenti il costo relativo a servizi indivisibili, che potrebbe essere ripartito su una base imponibile più ampia.</w:t>
      </w:r>
    </w:p>
    <w:p w14:paraId="58468781" w14:textId="77777777" w:rsidR="00957A35" w:rsidRDefault="00957A35">
      <w:pPr>
        <w:rPr>
          <w:rFonts w:ascii="Bookman Old Style" w:hAnsi="Bookman Old Style"/>
        </w:rPr>
      </w:pPr>
    </w:p>
    <w:p w14:paraId="4AF2EB0A" w14:textId="77777777" w:rsidR="009532DE" w:rsidRPr="001B5E96" w:rsidRDefault="009532DE" w:rsidP="001B5E96">
      <w:pPr>
        <w:pStyle w:val="Titolo2"/>
        <w:rPr>
          <w:rFonts w:ascii="Bookman Old Style" w:hAnsi="Bookman Old Style"/>
          <w:b/>
          <w:bCs/>
          <w:sz w:val="22"/>
          <w:szCs w:val="22"/>
        </w:rPr>
      </w:pPr>
      <w:bookmarkStart w:id="1" w:name="_Toc209467049"/>
      <w:r w:rsidRPr="001B5E96">
        <w:rPr>
          <w:rFonts w:ascii="Bookman Old Style" w:hAnsi="Bookman Old Style"/>
          <w:b/>
          <w:bCs/>
          <w:sz w:val="22"/>
          <w:szCs w:val="22"/>
        </w:rPr>
        <w:t>I contenuti della Proposta di legge</w:t>
      </w:r>
      <w:bookmarkEnd w:id="1"/>
    </w:p>
    <w:p w14:paraId="1F0D937E" w14:textId="642FB955" w:rsidR="00876A1A" w:rsidRPr="00876A1A" w:rsidRDefault="00876A1A" w:rsidP="009532DE">
      <w:pPr>
        <w:jc w:val="both"/>
        <w:rPr>
          <w:rFonts w:ascii="Bookman Old Style" w:hAnsi="Bookman Old Style"/>
          <w:b/>
          <w:bCs/>
        </w:rPr>
      </w:pPr>
      <w:r w:rsidRPr="00876A1A">
        <w:rPr>
          <w:rFonts w:ascii="Bookman Old Style" w:hAnsi="Bookman Old Style"/>
        </w:rPr>
        <w:t>La proposta di legge AC 1989 è composta da un solo articolo e mira ad introdurre una norma di interpretazione concernente l'esenzione dal pagamento della TARI delle superfici ove si realizzano lavorazioni industriali.</w:t>
      </w:r>
    </w:p>
    <w:p w14:paraId="66E012F3" w14:textId="77777777" w:rsidR="00876A1A" w:rsidRPr="00876A1A" w:rsidRDefault="00876A1A" w:rsidP="009532DE">
      <w:pPr>
        <w:jc w:val="both"/>
        <w:rPr>
          <w:rFonts w:ascii="Bookman Old Style" w:hAnsi="Bookman Old Style"/>
        </w:rPr>
      </w:pPr>
      <w:r w:rsidRPr="00876A1A">
        <w:rPr>
          <w:rFonts w:ascii="Bookman Old Style" w:hAnsi="Bookman Old Style"/>
        </w:rPr>
        <w:t xml:space="preserve">L’articolo unico dispone quanto segue: «1. </w:t>
      </w:r>
      <w:r w:rsidRPr="00876A1A">
        <w:rPr>
          <w:rFonts w:ascii="Bookman Old Style" w:hAnsi="Bookman Old Style"/>
          <w:i/>
        </w:rPr>
        <w:t xml:space="preserve">La disposizione di cui al comma 649 dell’articolo 1 della legge 27 dicembre 2013, n. 147, si interpreta nel senso che sono escluse dall’applicazione della tassa sui rifiuti le superfici dove avviene la lavorazione industriale, </w:t>
      </w:r>
      <w:r w:rsidRPr="00876A1A">
        <w:rPr>
          <w:rFonts w:ascii="Bookman Old Style" w:hAnsi="Bookman Old Style"/>
          <w:i/>
        </w:rPr>
        <w:lastRenderedPageBreak/>
        <w:t>compresi i magazzini di materie prime, di merci e di prodotti finiti, con riferimento sia alla quota fissa che alla quota variabile</w:t>
      </w:r>
      <w:r w:rsidRPr="00876A1A">
        <w:rPr>
          <w:rFonts w:ascii="Bookman Old Style" w:hAnsi="Bookman Old Style"/>
        </w:rPr>
        <w:t>.»</w:t>
      </w:r>
    </w:p>
    <w:p w14:paraId="3D43EDBD" w14:textId="77777777" w:rsidR="00876A1A" w:rsidRPr="00876A1A" w:rsidRDefault="00876A1A" w:rsidP="009532DE">
      <w:pPr>
        <w:jc w:val="both"/>
        <w:rPr>
          <w:rFonts w:ascii="Bookman Old Style" w:hAnsi="Bookman Old Style"/>
        </w:rPr>
      </w:pPr>
      <w:r w:rsidRPr="00876A1A">
        <w:rPr>
          <w:rFonts w:ascii="Bookman Old Style" w:hAnsi="Bookman Old Style"/>
        </w:rPr>
        <w:t>La proposta di legge presenta diversi ed autonomi profili di criticità.</w:t>
      </w:r>
    </w:p>
    <w:p w14:paraId="72042FFE" w14:textId="79C6F328" w:rsidR="00876A1A" w:rsidRPr="00876A1A" w:rsidRDefault="00876A1A" w:rsidP="005B4ADD">
      <w:pPr>
        <w:jc w:val="both"/>
        <w:rPr>
          <w:rFonts w:ascii="Bookman Old Style" w:hAnsi="Bookman Old Style"/>
        </w:rPr>
      </w:pPr>
      <w:r w:rsidRPr="00876A1A">
        <w:rPr>
          <w:rFonts w:ascii="Bookman Old Style" w:hAnsi="Bookman Old Style"/>
        </w:rPr>
        <w:t xml:space="preserve">Il primo </w:t>
      </w:r>
      <w:r w:rsidR="005B4ADD">
        <w:rPr>
          <w:rFonts w:ascii="Bookman Old Style" w:hAnsi="Bookman Old Style"/>
        </w:rPr>
        <w:t xml:space="preserve">profilo </w:t>
      </w:r>
      <w:r w:rsidRPr="00876A1A">
        <w:rPr>
          <w:rFonts w:ascii="Bookman Old Style" w:hAnsi="Bookman Old Style"/>
        </w:rPr>
        <w:t xml:space="preserve">attiene ad un contrasto motivazionale, tra quanto riportato </w:t>
      </w:r>
      <w:r w:rsidR="00A40659">
        <w:rPr>
          <w:rFonts w:ascii="Bookman Old Style" w:hAnsi="Bookman Old Style"/>
        </w:rPr>
        <w:t xml:space="preserve">da una parte </w:t>
      </w:r>
      <w:r w:rsidR="00EB2B65">
        <w:rPr>
          <w:rFonts w:ascii="Bookman Old Style" w:hAnsi="Bookman Old Style"/>
        </w:rPr>
        <w:t>da</w:t>
      </w:r>
      <w:r w:rsidRPr="00876A1A">
        <w:rPr>
          <w:rFonts w:ascii="Bookman Old Style" w:hAnsi="Bookman Old Style"/>
        </w:rPr>
        <w:t xml:space="preserve">lla </w:t>
      </w:r>
      <w:r w:rsidR="00A40659">
        <w:rPr>
          <w:rFonts w:ascii="Bookman Old Style" w:hAnsi="Bookman Old Style"/>
        </w:rPr>
        <w:t>R</w:t>
      </w:r>
      <w:r w:rsidRPr="00876A1A">
        <w:rPr>
          <w:rFonts w:ascii="Bookman Old Style" w:hAnsi="Bookman Old Style"/>
        </w:rPr>
        <w:t xml:space="preserve">elazione che accompagna la </w:t>
      </w:r>
      <w:r w:rsidR="00565D78">
        <w:rPr>
          <w:rFonts w:ascii="Bookman Old Style" w:hAnsi="Bookman Old Style"/>
        </w:rPr>
        <w:t>P</w:t>
      </w:r>
      <w:r w:rsidRPr="00876A1A">
        <w:rPr>
          <w:rFonts w:ascii="Bookman Old Style" w:hAnsi="Bookman Old Style"/>
        </w:rPr>
        <w:t>roposta di legge</w:t>
      </w:r>
      <w:r w:rsidR="00524999">
        <w:rPr>
          <w:rFonts w:ascii="Bookman Old Style" w:hAnsi="Bookman Old Style"/>
        </w:rPr>
        <w:t xml:space="preserve"> </w:t>
      </w:r>
      <w:r w:rsidR="00EB2B65">
        <w:rPr>
          <w:rFonts w:ascii="Bookman Old Style" w:hAnsi="Bookman Old Style"/>
        </w:rPr>
        <w:t>e dalla</w:t>
      </w:r>
      <w:r w:rsidRPr="00876A1A">
        <w:rPr>
          <w:rFonts w:ascii="Bookman Old Style" w:hAnsi="Bookman Old Style"/>
        </w:rPr>
        <w:t xml:space="preserve"> Scheda di lettura e</w:t>
      </w:r>
      <w:r w:rsidR="00EB2B65">
        <w:rPr>
          <w:rFonts w:ascii="Bookman Old Style" w:hAnsi="Bookman Old Style"/>
        </w:rPr>
        <w:t>, dall’altra, dal</w:t>
      </w:r>
      <w:r w:rsidRPr="00876A1A">
        <w:rPr>
          <w:rFonts w:ascii="Bookman Old Style" w:hAnsi="Bookman Old Style"/>
        </w:rPr>
        <w:t xml:space="preserve">l’articolo unico della proposta di legge medesima. In particolare, </w:t>
      </w:r>
      <w:r w:rsidRPr="00876A1A">
        <w:rPr>
          <w:rFonts w:ascii="Bookman Old Style" w:hAnsi="Bookman Old Style"/>
          <w:b/>
          <w:bCs/>
        </w:rPr>
        <w:t>la proposta è formulata per garantire un’esenzione “oggettiva” per tutte le attività industriali, indipendentemente dal tipo di rifiuto prodotto.</w:t>
      </w:r>
      <w:r w:rsidRPr="00876A1A">
        <w:rPr>
          <w:rFonts w:ascii="Bookman Old Style" w:hAnsi="Bookman Old Style"/>
        </w:rPr>
        <w:t xml:space="preserve"> </w:t>
      </w:r>
      <w:r w:rsidR="000A7E7C">
        <w:rPr>
          <w:rFonts w:ascii="Bookman Old Style" w:hAnsi="Bookman Old Style"/>
        </w:rPr>
        <w:t>Questo sicuramente confligge</w:t>
      </w:r>
      <w:r w:rsidR="00A60349">
        <w:rPr>
          <w:rFonts w:ascii="Bookman Old Style" w:hAnsi="Bookman Old Style"/>
        </w:rPr>
        <w:t xml:space="preserve">, come anche richiamato in </w:t>
      </w:r>
      <w:r w:rsidR="005D1330">
        <w:rPr>
          <w:rFonts w:ascii="Bookman Old Style" w:hAnsi="Bookman Old Style"/>
        </w:rPr>
        <w:t>p</w:t>
      </w:r>
      <w:r w:rsidR="00A60349">
        <w:rPr>
          <w:rFonts w:ascii="Bookman Old Style" w:hAnsi="Bookman Old Style"/>
        </w:rPr>
        <w:t xml:space="preserve">remessa, con il dettato normativo comunitario, in cui </w:t>
      </w:r>
      <w:r w:rsidR="00F00EF9">
        <w:rPr>
          <w:rFonts w:ascii="Bookman Old Style" w:hAnsi="Bookman Old Style"/>
        </w:rPr>
        <w:t>il rifiuto si considera “speciale” in base al codice di appartenenza e non al luogo di produzione</w:t>
      </w:r>
      <w:r w:rsidR="00F11D41">
        <w:rPr>
          <w:rFonts w:ascii="Bookman Old Style" w:hAnsi="Bookman Old Style"/>
        </w:rPr>
        <w:t xml:space="preserve">. </w:t>
      </w:r>
      <w:r w:rsidRPr="00876A1A">
        <w:rPr>
          <w:rFonts w:ascii="Bookman Old Style" w:hAnsi="Bookman Old Style"/>
        </w:rPr>
        <w:t xml:space="preserve">Nella </w:t>
      </w:r>
      <w:r w:rsidR="00A40659">
        <w:rPr>
          <w:rFonts w:ascii="Bookman Old Style" w:hAnsi="Bookman Old Style"/>
        </w:rPr>
        <w:t>R</w:t>
      </w:r>
      <w:r w:rsidRPr="00876A1A">
        <w:rPr>
          <w:rFonts w:ascii="Bookman Old Style" w:hAnsi="Bookman Old Style"/>
        </w:rPr>
        <w:t xml:space="preserve">elazione e nella Scheda di lettura, invece, si fa riferimento </w:t>
      </w:r>
      <w:r w:rsidR="0059185C">
        <w:rPr>
          <w:rFonts w:ascii="Bookman Old Style" w:hAnsi="Bookman Old Style"/>
        </w:rPr>
        <w:t xml:space="preserve">opportunamente </w:t>
      </w:r>
      <w:r w:rsidRPr="00876A1A">
        <w:rPr>
          <w:rFonts w:ascii="Bookman Old Style" w:hAnsi="Bookman Old Style"/>
        </w:rPr>
        <w:t xml:space="preserve">all’esclusione della superficie assoggettabile alla tassa delle aree ove si formano, in via continuativa e prevalente, rifiuti speciali, sempre che i produttori dimostrino che tali rifiuti siano stati trattati conformemente alle regole. </w:t>
      </w:r>
    </w:p>
    <w:p w14:paraId="25B2164A" w14:textId="465BA808" w:rsidR="00876A1A" w:rsidRPr="00876A1A" w:rsidRDefault="00876A1A" w:rsidP="00D05EE9">
      <w:pPr>
        <w:jc w:val="both"/>
        <w:rPr>
          <w:rFonts w:ascii="Bookman Old Style" w:hAnsi="Bookman Old Style"/>
        </w:rPr>
      </w:pPr>
      <w:r w:rsidRPr="00876A1A">
        <w:rPr>
          <w:rFonts w:ascii="Bookman Old Style" w:hAnsi="Bookman Old Style"/>
        </w:rPr>
        <w:t>Ne consegue che</w:t>
      </w:r>
      <w:r w:rsidR="00D05EE9">
        <w:rPr>
          <w:rFonts w:ascii="Bookman Old Style" w:hAnsi="Bookman Old Style"/>
        </w:rPr>
        <w:t>,</w:t>
      </w:r>
      <w:r w:rsidRPr="00876A1A">
        <w:rPr>
          <w:rFonts w:ascii="Bookman Old Style" w:hAnsi="Bookman Old Style"/>
        </w:rPr>
        <w:t xml:space="preserve"> se la finalità della proposta normativa è quella di chiarire che le superfici produttive di rifiuti speciali non sono soggette né alla quota fissa né alla quota variabile, allora l’articolo unico dovrebbe essere così riformulato: «1. </w:t>
      </w:r>
      <w:r w:rsidRPr="00876A1A">
        <w:rPr>
          <w:rFonts w:ascii="Bookman Old Style" w:hAnsi="Bookman Old Style"/>
          <w:i/>
        </w:rPr>
        <w:t xml:space="preserve">La disposizione di cui al comma 649 dell’articolo 1 della legge 27 dicembre 2013, n. 147, si interpreta nel senso che sono escluse dall’applicazione della tassa sui rifiuti le superfici dove avviene la lavorazione industriale </w:t>
      </w:r>
      <w:r w:rsidRPr="00876A1A">
        <w:rPr>
          <w:rFonts w:ascii="Bookman Old Style" w:hAnsi="Bookman Old Style"/>
          <w:b/>
          <w:i/>
        </w:rPr>
        <w:t>con produzione di rifiuti speciali</w:t>
      </w:r>
      <w:r w:rsidRPr="00876A1A">
        <w:rPr>
          <w:rFonts w:ascii="Bookman Old Style" w:hAnsi="Bookman Old Style"/>
          <w:i/>
        </w:rPr>
        <w:t>, compresi i magazzini di materie prime, di merci e di prodotti finiti, con riferimento sia alla quota fissa che alla quota variabile</w:t>
      </w:r>
      <w:r w:rsidRPr="00876A1A">
        <w:rPr>
          <w:rFonts w:ascii="Bookman Old Style" w:hAnsi="Bookman Old Style"/>
        </w:rPr>
        <w:t>.»</w:t>
      </w:r>
    </w:p>
    <w:p w14:paraId="3C0DE7D4" w14:textId="12706E58" w:rsidR="00876A1A" w:rsidRPr="00876A1A" w:rsidRDefault="00876A1A" w:rsidP="00D05EE9">
      <w:pPr>
        <w:jc w:val="both"/>
        <w:rPr>
          <w:rFonts w:ascii="Bookman Old Style" w:hAnsi="Bookman Old Style"/>
        </w:rPr>
      </w:pPr>
      <w:r w:rsidRPr="00876A1A">
        <w:rPr>
          <w:rFonts w:ascii="Bookman Old Style" w:hAnsi="Bookman Old Style"/>
        </w:rPr>
        <w:t xml:space="preserve">Anche con la modifica </w:t>
      </w:r>
      <w:r w:rsidR="003015C8">
        <w:rPr>
          <w:rFonts w:ascii="Bookman Old Style" w:hAnsi="Bookman Old Style"/>
        </w:rPr>
        <w:t>prospettata</w:t>
      </w:r>
      <w:r w:rsidRPr="00876A1A">
        <w:rPr>
          <w:rFonts w:ascii="Bookman Old Style" w:hAnsi="Bookman Old Style"/>
        </w:rPr>
        <w:t>, tuttavia, perma</w:t>
      </w:r>
      <w:r w:rsidR="005D1330">
        <w:rPr>
          <w:rFonts w:ascii="Bookman Old Style" w:hAnsi="Bookman Old Style"/>
        </w:rPr>
        <w:t xml:space="preserve">rrebbero </w:t>
      </w:r>
      <w:r w:rsidRPr="00876A1A">
        <w:rPr>
          <w:rFonts w:ascii="Bookman Old Style" w:hAnsi="Bookman Old Style"/>
        </w:rPr>
        <w:t xml:space="preserve">ulteriori criticità, in quanto l’esclusione della quota fissa sarebbe riconoscibile </w:t>
      </w:r>
      <w:r w:rsidRPr="00876A1A">
        <w:rPr>
          <w:rFonts w:ascii="Bookman Old Style" w:hAnsi="Bookman Old Style"/>
          <w:b/>
        </w:rPr>
        <w:t>alle sole attività industriali</w:t>
      </w:r>
      <w:r w:rsidRPr="00876A1A">
        <w:rPr>
          <w:rFonts w:ascii="Bookman Old Style" w:hAnsi="Bookman Old Style"/>
        </w:rPr>
        <w:t xml:space="preserve">, e non anche alle attività artigianali e commerciali, sicché più correttamente si dovrebbe così riformulare: «1. </w:t>
      </w:r>
      <w:r w:rsidRPr="00876A1A">
        <w:rPr>
          <w:rFonts w:ascii="Bookman Old Style" w:hAnsi="Bookman Old Style"/>
          <w:i/>
        </w:rPr>
        <w:t xml:space="preserve">La disposizione di cui al comma 649 dell’articolo 1 della legge 27 dicembre 2013, n. 147, si interpreta nel senso che sono escluse dall’applicazione della tassa sui rifiuti le superfici </w:t>
      </w:r>
      <w:r w:rsidRPr="00876A1A">
        <w:rPr>
          <w:rFonts w:ascii="Bookman Old Style" w:hAnsi="Bookman Old Style"/>
          <w:b/>
          <w:i/>
        </w:rPr>
        <w:t>con produzione continuativa e prevalente di rifiuti speciali</w:t>
      </w:r>
      <w:r w:rsidRPr="00876A1A">
        <w:rPr>
          <w:rFonts w:ascii="Bookman Old Style" w:hAnsi="Bookman Old Style"/>
          <w:i/>
        </w:rPr>
        <w:t>, compresi i magazzini di materie prime, di merci e di prodotti finiti, con riferimento sia alla quota fissa che alla quota variabile</w:t>
      </w:r>
      <w:r w:rsidRPr="00876A1A">
        <w:rPr>
          <w:rFonts w:ascii="Bookman Old Style" w:hAnsi="Bookman Old Style"/>
        </w:rPr>
        <w:t>.»</w:t>
      </w:r>
      <w:r w:rsidRPr="00876A1A">
        <w:rPr>
          <w:rFonts w:ascii="Bookman Old Style" w:hAnsi="Bookman Old Style"/>
          <w:vertAlign w:val="superscript"/>
        </w:rPr>
        <w:footnoteReference w:id="2"/>
      </w:r>
    </w:p>
    <w:p w14:paraId="7C838CC6" w14:textId="42EBDC58" w:rsidR="00876A1A" w:rsidRPr="00876A1A" w:rsidRDefault="00876A1A" w:rsidP="00853749">
      <w:pPr>
        <w:jc w:val="both"/>
        <w:rPr>
          <w:rFonts w:ascii="Bookman Old Style" w:hAnsi="Bookman Old Style"/>
        </w:rPr>
      </w:pPr>
      <w:r w:rsidRPr="00876A1A">
        <w:rPr>
          <w:rFonts w:ascii="Bookman Old Style" w:hAnsi="Bookman Old Style"/>
        </w:rPr>
        <w:t>Al riguardo</w:t>
      </w:r>
      <w:r w:rsidR="00204FFC">
        <w:rPr>
          <w:rFonts w:ascii="Bookman Old Style" w:hAnsi="Bookman Old Style"/>
        </w:rPr>
        <w:t>,</w:t>
      </w:r>
      <w:r w:rsidRPr="00876A1A">
        <w:rPr>
          <w:rFonts w:ascii="Bookman Old Style" w:hAnsi="Bookman Old Style"/>
        </w:rPr>
        <w:t xml:space="preserve"> si rammenta che il d.lgs. n. 152/2006 non esclude che le attività industriali possano produrre rifiuti urbani conferibili al pubblico servizio, come peraltro ricordato anche nella Scheda di lettura. </w:t>
      </w:r>
    </w:p>
    <w:p w14:paraId="5DBC832F" w14:textId="77777777" w:rsidR="00876A1A" w:rsidRPr="00876A1A" w:rsidRDefault="00876A1A" w:rsidP="00853749">
      <w:pPr>
        <w:jc w:val="both"/>
        <w:rPr>
          <w:rFonts w:ascii="Bookman Old Style" w:hAnsi="Bookman Old Style"/>
        </w:rPr>
      </w:pPr>
      <w:r w:rsidRPr="00876A1A">
        <w:rPr>
          <w:rFonts w:ascii="Bookman Old Style" w:hAnsi="Bookman Old Style"/>
        </w:rPr>
        <w:t>L’art. 183, comma 1, lett. b-</w:t>
      </w:r>
      <w:r w:rsidRPr="00876A1A">
        <w:rPr>
          <w:rFonts w:ascii="Bookman Old Style" w:hAnsi="Bookman Old Style"/>
          <w:i/>
          <w:iCs/>
        </w:rPr>
        <w:t>ter),</w:t>
      </w:r>
      <w:r w:rsidRPr="00876A1A">
        <w:rPr>
          <w:rFonts w:ascii="Bookman Old Style" w:hAnsi="Bookman Old Style"/>
        </w:rPr>
        <w:t xml:space="preserve"> d.lgs. 152/2006 detta la definizione di </w:t>
      </w:r>
      <w:r w:rsidRPr="00876A1A">
        <w:rPr>
          <w:rFonts w:ascii="Bookman Old Style" w:hAnsi="Bookman Old Style"/>
          <w:b/>
        </w:rPr>
        <w:t>rifiuto urbano</w:t>
      </w:r>
      <w:r w:rsidRPr="00876A1A">
        <w:rPr>
          <w:rFonts w:ascii="Bookman Old Style" w:hAnsi="Bookman Old Style"/>
        </w:rPr>
        <w:t xml:space="preserve"> e l’art. 184, comma 2, d.lgs. 152/2006 ribadisce che “</w:t>
      </w:r>
      <w:r w:rsidRPr="00876A1A">
        <w:rPr>
          <w:rFonts w:ascii="Bookman Old Style" w:hAnsi="Bookman Old Style"/>
          <w:i/>
        </w:rPr>
        <w:t>Sono rifiuti urbani i rifiuti di cui all'articolo 183, comma 1, lettera b-ter)</w:t>
      </w:r>
      <w:r w:rsidRPr="00876A1A">
        <w:rPr>
          <w:rFonts w:ascii="Bookman Old Style" w:hAnsi="Bookman Old Style"/>
        </w:rPr>
        <w:t>”. Il successivo comma 3 dell’art. 184 definisce rifiuti speciali anche “</w:t>
      </w:r>
      <w:r w:rsidRPr="00876A1A">
        <w:rPr>
          <w:rFonts w:ascii="Bookman Old Style" w:hAnsi="Bookman Old Style"/>
          <w:i/>
        </w:rPr>
        <w:t>i rifiuti prodotti nell'ambito delle lavorazioni industriali se diversi da quelli di cui al comma 2</w:t>
      </w:r>
      <w:r w:rsidRPr="00876A1A">
        <w:rPr>
          <w:rFonts w:ascii="Bookman Old Style" w:hAnsi="Bookman Old Style"/>
        </w:rPr>
        <w:t>”</w:t>
      </w:r>
      <w:r w:rsidRPr="00876A1A">
        <w:rPr>
          <w:rFonts w:ascii="Bookman Old Style" w:hAnsi="Bookman Old Style"/>
          <w:vertAlign w:val="superscript"/>
        </w:rPr>
        <w:footnoteReference w:id="3"/>
      </w:r>
      <w:r w:rsidRPr="00876A1A">
        <w:rPr>
          <w:rFonts w:ascii="Bookman Old Style" w:hAnsi="Bookman Old Style"/>
        </w:rPr>
        <w:t xml:space="preserve">. Ne consegue che </w:t>
      </w:r>
      <w:r w:rsidRPr="00876A1A">
        <w:rPr>
          <w:rFonts w:ascii="Bookman Old Style" w:hAnsi="Bookman Old Style"/>
          <w:b/>
        </w:rPr>
        <w:t xml:space="preserve">lo stesso Legislatore valorizza la possibilità che </w:t>
      </w:r>
      <w:r w:rsidRPr="00876A1A">
        <w:rPr>
          <w:rFonts w:ascii="Bookman Old Style" w:hAnsi="Bookman Old Style"/>
          <w:b/>
        </w:rPr>
        <w:lastRenderedPageBreak/>
        <w:t>nell’ambito delle “lavorazioni industriali” possano essere prodotti anche rifiuti urbani,</w:t>
      </w:r>
      <w:r w:rsidRPr="00876A1A">
        <w:rPr>
          <w:rFonts w:ascii="Bookman Old Style" w:hAnsi="Bookman Old Style"/>
        </w:rPr>
        <w:t xml:space="preserve"> liberamente conferibili al servizio pubblico, salva la possibilità per i produttori di fuoriuscire dal servizio pubblico in base alle previsioni di cui all’art. 238, comma 10 TUA</w:t>
      </w:r>
      <w:r w:rsidRPr="00876A1A">
        <w:rPr>
          <w:rFonts w:ascii="Bookman Old Style" w:hAnsi="Bookman Old Style"/>
          <w:vertAlign w:val="superscript"/>
        </w:rPr>
        <w:footnoteReference w:id="4"/>
      </w:r>
      <w:r w:rsidRPr="00876A1A">
        <w:rPr>
          <w:rFonts w:ascii="Bookman Old Style" w:hAnsi="Bookman Old Style"/>
        </w:rPr>
        <w:t>, il quale prevede, in tale evenienza, la riduzione o esenzione della sola quota variabile, ovvero della componente della tariffa rapporta alla quantità di rifiuti conferiti, fermo restando la debenza della quota fissa.</w:t>
      </w:r>
      <w:r w:rsidRPr="00876A1A">
        <w:rPr>
          <w:rFonts w:ascii="Bookman Old Style" w:hAnsi="Bookman Old Style"/>
          <w:vertAlign w:val="superscript"/>
        </w:rPr>
        <w:footnoteReference w:id="5"/>
      </w:r>
    </w:p>
    <w:p w14:paraId="24019AA3" w14:textId="768E726F" w:rsidR="00876A1A" w:rsidRPr="00876A1A" w:rsidRDefault="00876A1A" w:rsidP="00853749">
      <w:pPr>
        <w:jc w:val="both"/>
        <w:rPr>
          <w:rFonts w:ascii="Bookman Old Style" w:hAnsi="Bookman Old Style"/>
        </w:rPr>
      </w:pPr>
      <w:r w:rsidRPr="00876A1A">
        <w:rPr>
          <w:rFonts w:ascii="Bookman Old Style" w:hAnsi="Bookman Old Style"/>
        </w:rPr>
        <w:t xml:space="preserve">La circostanza che anche nelle aree di lavorazione industriale possano prodursi rifiuti urbani conferibili al pubblico servizio è stata valorizzata anche dalla Corte di Cassazione. </w:t>
      </w:r>
    </w:p>
    <w:p w14:paraId="28572FC6" w14:textId="77777777" w:rsidR="003015C8" w:rsidRDefault="00876A1A" w:rsidP="00853749">
      <w:pPr>
        <w:jc w:val="both"/>
        <w:rPr>
          <w:rFonts w:ascii="Bookman Old Style" w:hAnsi="Bookman Old Style"/>
        </w:rPr>
      </w:pPr>
      <w:r w:rsidRPr="00876A1A">
        <w:rPr>
          <w:rFonts w:ascii="Bookman Old Style" w:hAnsi="Bookman Old Style"/>
        </w:rPr>
        <w:t xml:space="preserve">In particolare, Cass. civ., Sez. V, </w:t>
      </w:r>
      <w:proofErr w:type="spellStart"/>
      <w:r w:rsidRPr="00876A1A">
        <w:rPr>
          <w:rFonts w:ascii="Bookman Old Style" w:hAnsi="Bookman Old Style"/>
        </w:rPr>
        <w:t>Ord</w:t>
      </w:r>
      <w:proofErr w:type="spellEnd"/>
      <w:r w:rsidRPr="00876A1A">
        <w:rPr>
          <w:rFonts w:ascii="Bookman Old Style" w:hAnsi="Bookman Old Style"/>
        </w:rPr>
        <w:t xml:space="preserve">., 1° aprile 2025, n. 8609, osserva, proprio con riferimento all’art. 1, comma 649, legge 147/2013, quanto segue: </w:t>
      </w:r>
    </w:p>
    <w:p w14:paraId="11DB87C0" w14:textId="77777777" w:rsidR="003015C8" w:rsidRDefault="00876A1A" w:rsidP="003015C8">
      <w:pPr>
        <w:spacing w:after="0"/>
        <w:ind w:left="284"/>
        <w:jc w:val="both"/>
        <w:rPr>
          <w:rFonts w:ascii="Bookman Old Style" w:hAnsi="Bookman Old Style"/>
          <w:i/>
        </w:rPr>
      </w:pPr>
      <w:r w:rsidRPr="00876A1A">
        <w:rPr>
          <w:rFonts w:ascii="Bookman Old Style" w:hAnsi="Bookman Old Style"/>
        </w:rPr>
        <w:t>«</w:t>
      </w:r>
      <w:r w:rsidRPr="00876A1A">
        <w:rPr>
          <w:rFonts w:ascii="Bookman Old Style" w:hAnsi="Bookman Old Style"/>
          <w:i/>
        </w:rPr>
        <w:t xml:space="preserve">2.18. Ciò posto, la riduzione della superficie tassabile muove dunque </w:t>
      </w:r>
      <w:r w:rsidRPr="00876A1A">
        <w:rPr>
          <w:rFonts w:ascii="Bookman Old Style" w:hAnsi="Bookman Old Style"/>
          <w:b/>
          <w:i/>
        </w:rPr>
        <w:t>non dalla generica destinazione dell'immobile ad attività industriale</w:t>
      </w:r>
      <w:r w:rsidRPr="00876A1A">
        <w:rPr>
          <w:rFonts w:ascii="Bookman Old Style" w:hAnsi="Bookman Old Style"/>
          <w:i/>
        </w:rPr>
        <w:t xml:space="preserve">, ma dalla specifica indicazione e dimostrazione delle aree che, all'interno dello stabilimento, </w:t>
      </w:r>
      <w:r w:rsidRPr="00876A1A">
        <w:rPr>
          <w:rFonts w:ascii="Bookman Old Style" w:hAnsi="Bookman Old Style"/>
          <w:b/>
          <w:i/>
        </w:rPr>
        <w:t>producono prevalentemente rifiuti (speciali)</w:t>
      </w:r>
      <w:r w:rsidRPr="00876A1A">
        <w:rPr>
          <w:rFonts w:ascii="Bookman Old Style" w:hAnsi="Bookman Old Style"/>
          <w:i/>
        </w:rPr>
        <w:t xml:space="preserve"> esenti da privativa comunale, perché non assimilati né assimilabili ai rifiuti urbani e, come tali, assoggettati ad </w:t>
      </w:r>
      <w:proofErr w:type="spellStart"/>
      <w:r w:rsidRPr="00876A1A">
        <w:rPr>
          <w:rFonts w:ascii="Bookman Old Style" w:hAnsi="Bookman Old Style"/>
          <w:i/>
        </w:rPr>
        <w:t>autosmaltimento</w:t>
      </w:r>
      <w:proofErr w:type="spellEnd"/>
      <w:r w:rsidRPr="00876A1A">
        <w:rPr>
          <w:rFonts w:ascii="Bookman Old Style" w:hAnsi="Bookman Old Style"/>
          <w:i/>
        </w:rPr>
        <w:t xml:space="preserve">. </w:t>
      </w:r>
    </w:p>
    <w:p w14:paraId="6C961CA7" w14:textId="635D6AEA" w:rsidR="00876A1A" w:rsidRPr="00876A1A" w:rsidRDefault="00876A1A" w:rsidP="003015C8">
      <w:pPr>
        <w:ind w:left="284"/>
        <w:jc w:val="both"/>
        <w:rPr>
          <w:rFonts w:ascii="Bookman Old Style" w:hAnsi="Bookman Old Style"/>
        </w:rPr>
      </w:pPr>
      <w:r w:rsidRPr="00876A1A">
        <w:rPr>
          <w:rFonts w:ascii="Bookman Old Style" w:hAnsi="Bookman Old Style"/>
          <w:i/>
        </w:rPr>
        <w:t xml:space="preserve">2.19. Correttamente, dunque, la Commissione tributaria regionale </w:t>
      </w:r>
      <w:r w:rsidRPr="00876A1A">
        <w:rPr>
          <w:rFonts w:ascii="Bookman Old Style" w:hAnsi="Bookman Old Style"/>
          <w:b/>
          <w:i/>
        </w:rPr>
        <w:t xml:space="preserve">ha escluso l'espunzione da tassazione </w:t>
      </w:r>
      <w:r w:rsidRPr="00876A1A">
        <w:rPr>
          <w:rFonts w:ascii="Bookman Old Style" w:hAnsi="Bookman Old Style"/>
          <w:i/>
        </w:rPr>
        <w:t xml:space="preserve">delle superfici relative all'"attività produttiva di arredamenti, pareti divisorie, poltrone e sedie" </w:t>
      </w:r>
      <w:r w:rsidRPr="00876A1A">
        <w:rPr>
          <w:rFonts w:ascii="Bookman Old Style" w:hAnsi="Bookman Old Style"/>
          <w:b/>
          <w:i/>
        </w:rPr>
        <w:t>per la sola loro destinazione industriale</w:t>
      </w:r>
      <w:r w:rsidRPr="00876A1A">
        <w:rPr>
          <w:rFonts w:ascii="Bookman Old Style" w:hAnsi="Bookman Old Style"/>
          <w:i/>
        </w:rPr>
        <w:t xml:space="preserve">, in quanto in contrasto con la previsione legislativa (sostanzialmente recepita dal Regolamento comunale) </w:t>
      </w:r>
      <w:r w:rsidRPr="00876A1A">
        <w:rPr>
          <w:rFonts w:ascii="Bookman Old Style" w:hAnsi="Bookman Old Style"/>
          <w:b/>
          <w:i/>
        </w:rPr>
        <w:t>basata sulla considerazione che le aree industriali producono anche rifiuti non esenti, perché ordinari ovvero a questi assimilati, come nel caso di specie, con riguardo ai rifiuti costituiti da "segatura, trucioli, residui di taglio, imballaggi misti"</w:t>
      </w:r>
      <w:r w:rsidRPr="00876A1A">
        <w:rPr>
          <w:rFonts w:ascii="Bookman Old Style" w:hAnsi="Bookman Old Style"/>
          <w:i/>
        </w:rPr>
        <w:t>).»</w:t>
      </w:r>
      <w:r w:rsidRPr="00876A1A">
        <w:rPr>
          <w:rFonts w:ascii="Bookman Old Style" w:hAnsi="Bookman Old Style"/>
          <w:i/>
          <w:vertAlign w:val="superscript"/>
        </w:rPr>
        <w:footnoteReference w:id="6"/>
      </w:r>
      <w:r w:rsidRPr="00876A1A">
        <w:rPr>
          <w:rFonts w:ascii="Bookman Old Style" w:hAnsi="Bookman Old Style"/>
          <w:i/>
        </w:rPr>
        <w:t>.</w:t>
      </w:r>
    </w:p>
    <w:p w14:paraId="55D630C5" w14:textId="77777777" w:rsidR="00876A1A" w:rsidRDefault="00876A1A" w:rsidP="00876A1A">
      <w:pPr>
        <w:rPr>
          <w:rFonts w:ascii="Bookman Old Style" w:hAnsi="Bookman Old Style"/>
        </w:rPr>
      </w:pPr>
    </w:p>
    <w:p w14:paraId="2D7327C5" w14:textId="77777777" w:rsidR="0031452B" w:rsidRDefault="0031452B">
      <w:pPr>
        <w:rPr>
          <w:rFonts w:ascii="Bookman Old Style" w:eastAsiaTheme="majorEastAsia" w:hAnsi="Bookman Old Style" w:cstheme="majorBidi"/>
          <w:b/>
          <w:bCs/>
          <w:color w:val="2F5496" w:themeColor="accent1" w:themeShade="BF"/>
        </w:rPr>
      </w:pPr>
      <w:bookmarkStart w:id="2" w:name="_Toc209467050"/>
      <w:r>
        <w:rPr>
          <w:rFonts w:ascii="Bookman Old Style" w:hAnsi="Bookman Old Style"/>
          <w:b/>
          <w:bCs/>
        </w:rPr>
        <w:br w:type="page"/>
      </w:r>
    </w:p>
    <w:p w14:paraId="3F52DA8C" w14:textId="6447B18C" w:rsidR="004E3ABE" w:rsidRPr="00876A1A" w:rsidRDefault="00E04E0B" w:rsidP="001B5E96">
      <w:pPr>
        <w:pStyle w:val="Titolo2"/>
        <w:rPr>
          <w:rFonts w:ascii="Bookman Old Style" w:hAnsi="Bookman Old Style"/>
          <w:b/>
          <w:bCs/>
          <w:sz w:val="22"/>
          <w:szCs w:val="22"/>
        </w:rPr>
      </w:pPr>
      <w:r w:rsidRPr="001B5E96">
        <w:rPr>
          <w:rFonts w:ascii="Bookman Old Style" w:hAnsi="Bookman Old Style"/>
          <w:b/>
          <w:bCs/>
          <w:sz w:val="22"/>
          <w:szCs w:val="22"/>
        </w:rPr>
        <w:lastRenderedPageBreak/>
        <w:t xml:space="preserve">Mancanza di copertura </w:t>
      </w:r>
      <w:r w:rsidR="004E3ABE" w:rsidRPr="001B5E96">
        <w:rPr>
          <w:rFonts w:ascii="Bookman Old Style" w:hAnsi="Bookman Old Style"/>
          <w:b/>
          <w:bCs/>
          <w:sz w:val="22"/>
          <w:szCs w:val="22"/>
        </w:rPr>
        <w:t>finanziaria</w:t>
      </w:r>
      <w:bookmarkEnd w:id="2"/>
    </w:p>
    <w:p w14:paraId="1519EA62" w14:textId="58C87CF1" w:rsidR="00876A1A" w:rsidRPr="00876A1A" w:rsidRDefault="00876A1A" w:rsidP="00876A1A">
      <w:pPr>
        <w:rPr>
          <w:rFonts w:ascii="Bookman Old Style" w:hAnsi="Bookman Old Style"/>
          <w:b/>
        </w:rPr>
      </w:pPr>
      <w:r w:rsidRPr="00876A1A">
        <w:rPr>
          <w:rFonts w:ascii="Bookman Old Style" w:hAnsi="Bookman Old Style"/>
        </w:rPr>
        <w:t xml:space="preserve">Una seconda, </w:t>
      </w:r>
      <w:r w:rsidR="004E3ABE">
        <w:rPr>
          <w:rFonts w:ascii="Bookman Old Style" w:hAnsi="Bookman Old Style"/>
        </w:rPr>
        <w:t>e</w:t>
      </w:r>
      <w:r w:rsidRPr="00876A1A">
        <w:rPr>
          <w:rFonts w:ascii="Bookman Old Style" w:hAnsi="Bookman Old Style"/>
        </w:rPr>
        <w:t xml:space="preserve"> rilevante criticità attiene alla </w:t>
      </w:r>
      <w:r w:rsidRPr="00876A1A">
        <w:rPr>
          <w:rFonts w:ascii="Bookman Old Style" w:hAnsi="Bookman Old Style"/>
          <w:b/>
        </w:rPr>
        <w:t>mancanza di copertura finanziaria.</w:t>
      </w:r>
    </w:p>
    <w:p w14:paraId="1E416BE6" w14:textId="77777777" w:rsidR="00876A1A" w:rsidRPr="00876A1A" w:rsidRDefault="00876A1A" w:rsidP="004E3ABE">
      <w:pPr>
        <w:jc w:val="both"/>
        <w:rPr>
          <w:rFonts w:ascii="Bookman Old Style" w:hAnsi="Bookman Old Style"/>
        </w:rPr>
      </w:pPr>
      <w:r w:rsidRPr="00876A1A">
        <w:rPr>
          <w:rFonts w:ascii="Bookman Old Style" w:hAnsi="Bookman Old Style"/>
        </w:rPr>
        <w:t>Anche il “Dossier n° 461 - Scheda di lettura” mette in evidenza che occorre valutare “</w:t>
      </w:r>
      <w:r w:rsidRPr="00876A1A">
        <w:rPr>
          <w:rFonts w:ascii="Bookman Old Style" w:hAnsi="Bookman Old Style"/>
          <w:i/>
        </w:rPr>
        <w:t xml:space="preserve">l'opportunità di inserire una disposizione di copertura degli oneri derivanti dalla previsione di cui all'articolo 1, </w:t>
      </w:r>
      <w:r w:rsidRPr="00876A1A">
        <w:rPr>
          <w:rFonts w:ascii="Bookman Old Style" w:hAnsi="Bookman Old Style"/>
          <w:b/>
          <w:i/>
        </w:rPr>
        <w:t>sia per la sua applicazione retroattiva sia per quella futura, atteso che la medesima appare suscettibile di incidere sull'equilibrio economico finanziario relativo alla gestione del servizio</w:t>
      </w:r>
      <w:r w:rsidRPr="00876A1A">
        <w:rPr>
          <w:rFonts w:ascii="Bookman Old Style" w:hAnsi="Bookman Old Style"/>
        </w:rPr>
        <w:t>”.</w:t>
      </w:r>
    </w:p>
    <w:p w14:paraId="4ED5162B" w14:textId="77777777" w:rsidR="00876A1A" w:rsidRPr="00876A1A" w:rsidRDefault="00876A1A" w:rsidP="00FE094C">
      <w:pPr>
        <w:jc w:val="both"/>
        <w:rPr>
          <w:rFonts w:ascii="Bookman Old Style" w:hAnsi="Bookman Old Style"/>
        </w:rPr>
      </w:pPr>
      <w:r w:rsidRPr="00876A1A">
        <w:rPr>
          <w:rFonts w:ascii="Bookman Old Style" w:hAnsi="Bookman Old Style"/>
        </w:rPr>
        <w:t>Invero, il Dossier coglie solo un aspetto del problema, evidenziando che la proposta normativa comporterà il venir meno di una parte del gettito Tari, che, in assenza di un trasferimento compensativo, sarà inevitabilmente posto a carico degli altri utenti, ad iniziare da quelli domestici.</w:t>
      </w:r>
    </w:p>
    <w:p w14:paraId="5FC051A0" w14:textId="04E3358A" w:rsidR="00876A1A" w:rsidRPr="00876A1A" w:rsidRDefault="00876A1A" w:rsidP="00FE094C">
      <w:pPr>
        <w:jc w:val="both"/>
        <w:rPr>
          <w:rFonts w:ascii="Bookman Old Style" w:hAnsi="Bookman Old Style"/>
        </w:rPr>
      </w:pPr>
      <w:r w:rsidRPr="00876A1A">
        <w:rPr>
          <w:rFonts w:ascii="Bookman Old Style" w:hAnsi="Bookman Old Style"/>
        </w:rPr>
        <w:t>Infatti, al di là del</w:t>
      </w:r>
      <w:r w:rsidR="003015C8">
        <w:rPr>
          <w:rFonts w:ascii="Bookman Old Style" w:hAnsi="Bookman Old Style"/>
        </w:rPr>
        <w:t>l’</w:t>
      </w:r>
      <w:r w:rsidRPr="00876A1A">
        <w:rPr>
          <w:rFonts w:ascii="Bookman Old Style" w:hAnsi="Bookman Old Style"/>
        </w:rPr>
        <w:t xml:space="preserve">orientamento del giudice di legittimità sulla quota fissa, </w:t>
      </w:r>
      <w:r w:rsidRPr="00876A1A">
        <w:rPr>
          <w:rFonts w:ascii="Bookman Old Style" w:hAnsi="Bookman Old Style"/>
          <w:b/>
        </w:rPr>
        <w:t>la proposta normativa mira ad escludere dall’imposizione tutti i magazzini</w:t>
      </w:r>
      <w:r w:rsidRPr="00876A1A">
        <w:rPr>
          <w:rFonts w:ascii="Bookman Old Style" w:hAnsi="Bookman Old Style"/>
        </w:rPr>
        <w:t xml:space="preserve">, </w:t>
      </w:r>
      <w:r w:rsidRPr="00876A1A">
        <w:rPr>
          <w:rFonts w:ascii="Bookman Old Style" w:hAnsi="Bookman Old Style"/>
          <w:b/>
        </w:rPr>
        <w:t>anche per la parte oggi soggetta a Tari, in quanto produttiva di rifiuti urbani</w:t>
      </w:r>
      <w:r w:rsidRPr="00876A1A">
        <w:rPr>
          <w:rFonts w:ascii="Bookman Old Style" w:hAnsi="Bookman Old Style"/>
        </w:rPr>
        <w:t xml:space="preserve">. </w:t>
      </w:r>
    </w:p>
    <w:p w14:paraId="70085771" w14:textId="77777777" w:rsidR="00876A1A" w:rsidRPr="00876A1A" w:rsidRDefault="00876A1A" w:rsidP="00FE094C">
      <w:pPr>
        <w:jc w:val="both"/>
        <w:rPr>
          <w:rFonts w:ascii="Bookman Old Style" w:hAnsi="Bookman Old Style"/>
        </w:rPr>
      </w:pPr>
      <w:r w:rsidRPr="00876A1A">
        <w:rPr>
          <w:rFonts w:ascii="Bookman Old Style" w:hAnsi="Bookman Old Style"/>
        </w:rPr>
        <w:t>L’esclusione oggettiva, ovvero collegata al mero svolgimento di un’attività industriale ed alla destinazione di un locale od area a magazzino, senza la verifica della tipologia dei rifiuti ivi prodotti, comporta:</w:t>
      </w:r>
    </w:p>
    <w:p w14:paraId="0B0F6E9C" w14:textId="65891643" w:rsidR="00876A1A" w:rsidRPr="003015C8" w:rsidRDefault="00876A1A" w:rsidP="003015C8">
      <w:pPr>
        <w:pStyle w:val="Paragrafoelenco"/>
        <w:numPr>
          <w:ilvl w:val="0"/>
          <w:numId w:val="3"/>
        </w:numPr>
        <w:jc w:val="both"/>
        <w:rPr>
          <w:rFonts w:ascii="Bookman Old Style" w:hAnsi="Bookman Old Style"/>
        </w:rPr>
      </w:pPr>
      <w:r w:rsidRPr="003015C8">
        <w:rPr>
          <w:rFonts w:ascii="Bookman Old Style" w:hAnsi="Bookman Old Style"/>
        </w:rPr>
        <w:t>che il costo dei rifiuti urbani prodotti e conferiti al pubblico servizio saranno addebitati agli altri utenti, peraltro in palese violazione dei precetti costituzionali di cui agli artt. 3 e 53 Cost.;</w:t>
      </w:r>
    </w:p>
    <w:p w14:paraId="41F83906" w14:textId="7B777C81" w:rsidR="003015C8" w:rsidRDefault="00876A1A" w:rsidP="00FE094C">
      <w:pPr>
        <w:pStyle w:val="Paragrafoelenco"/>
        <w:numPr>
          <w:ilvl w:val="0"/>
          <w:numId w:val="3"/>
        </w:numPr>
        <w:jc w:val="both"/>
        <w:rPr>
          <w:rFonts w:ascii="Bookman Old Style" w:hAnsi="Bookman Old Style"/>
        </w:rPr>
      </w:pPr>
      <w:r w:rsidRPr="003015C8">
        <w:rPr>
          <w:rFonts w:ascii="Bookman Old Style" w:hAnsi="Bookman Old Style"/>
        </w:rPr>
        <w:t xml:space="preserve">la natura interpretativa legittimerà la richiesta di rimborso della Tari versata negli ultimi </w:t>
      </w:r>
      <w:proofErr w:type="gramStart"/>
      <w:r w:rsidRPr="003015C8">
        <w:rPr>
          <w:rFonts w:ascii="Bookman Old Style" w:hAnsi="Bookman Old Style"/>
        </w:rPr>
        <w:t>5</w:t>
      </w:r>
      <w:proofErr w:type="gramEnd"/>
      <w:r w:rsidRPr="003015C8">
        <w:rPr>
          <w:rFonts w:ascii="Bookman Old Style" w:hAnsi="Bookman Old Style"/>
        </w:rPr>
        <w:t xml:space="preserve"> anni, con effetti rilevanti, sulla tenuta dei bilanci comunali, soprattutto per quelli </w:t>
      </w:r>
      <w:r w:rsidR="003015C8">
        <w:rPr>
          <w:rFonts w:ascii="Bookman Old Style" w:hAnsi="Bookman Old Style"/>
        </w:rPr>
        <w:t xml:space="preserve">a più </w:t>
      </w:r>
      <w:r w:rsidRPr="003015C8">
        <w:rPr>
          <w:rFonts w:ascii="Bookman Old Style" w:hAnsi="Bookman Old Style"/>
        </w:rPr>
        <w:t>alt</w:t>
      </w:r>
      <w:r w:rsidR="003015C8">
        <w:rPr>
          <w:rFonts w:ascii="Bookman Old Style" w:hAnsi="Bookman Old Style"/>
        </w:rPr>
        <w:t xml:space="preserve">a intensità di </w:t>
      </w:r>
      <w:r w:rsidRPr="003015C8">
        <w:rPr>
          <w:rFonts w:ascii="Bookman Old Style" w:hAnsi="Bookman Old Style"/>
        </w:rPr>
        <w:t>insediament</w:t>
      </w:r>
      <w:r w:rsidR="003015C8">
        <w:rPr>
          <w:rFonts w:ascii="Bookman Old Style" w:hAnsi="Bookman Old Style"/>
        </w:rPr>
        <w:t>i</w:t>
      </w:r>
      <w:r w:rsidRPr="003015C8">
        <w:rPr>
          <w:rFonts w:ascii="Bookman Old Style" w:hAnsi="Bookman Old Style"/>
        </w:rPr>
        <w:t xml:space="preserve"> industrial</w:t>
      </w:r>
      <w:r w:rsidR="003015C8">
        <w:rPr>
          <w:rFonts w:ascii="Bookman Old Style" w:hAnsi="Bookman Old Style"/>
        </w:rPr>
        <w:t>i</w:t>
      </w:r>
      <w:r w:rsidRPr="003015C8">
        <w:rPr>
          <w:rFonts w:ascii="Bookman Old Style" w:hAnsi="Bookman Old Style"/>
        </w:rPr>
        <w:t xml:space="preserve">; </w:t>
      </w:r>
    </w:p>
    <w:p w14:paraId="762034FE" w14:textId="31F05AD9" w:rsidR="00876A1A" w:rsidRPr="003015C8" w:rsidRDefault="00876A1A" w:rsidP="00FE094C">
      <w:pPr>
        <w:pStyle w:val="Paragrafoelenco"/>
        <w:numPr>
          <w:ilvl w:val="0"/>
          <w:numId w:val="3"/>
        </w:numPr>
        <w:jc w:val="both"/>
        <w:rPr>
          <w:rFonts w:ascii="Bookman Old Style" w:hAnsi="Bookman Old Style"/>
        </w:rPr>
      </w:pPr>
      <w:r w:rsidRPr="003015C8">
        <w:rPr>
          <w:rFonts w:ascii="Bookman Old Style" w:hAnsi="Bookman Old Style"/>
        </w:rPr>
        <w:t>la chiusura del (costoso) contenzioso pendente a favore dei contribuenti, con l’inevitabile considerazione della scarsa affidabilità del nostro ordinamento tributario, che legittima un intervento interpretativo a distanza di 12 anni dall’entrata in vigore della legge 147/2013, minando, peraltro, la credibilità del ruolo svolto dalla Corte di Cassazione, alla quale pur</w:t>
      </w:r>
      <w:r w:rsidR="003015C8">
        <w:rPr>
          <w:rFonts w:ascii="Bookman Old Style" w:hAnsi="Bookman Old Style"/>
        </w:rPr>
        <w:t>e</w:t>
      </w:r>
      <w:r w:rsidRPr="003015C8">
        <w:rPr>
          <w:rFonts w:ascii="Bookman Old Style" w:hAnsi="Bookman Old Style"/>
        </w:rPr>
        <w:t xml:space="preserve"> è intestata la funzione nomofilattica, ovvero la funzione di garantire l'esatta osservanza e l'interpretazione uniforme della legge, assicurando l'unità del diritto oggettivo nazionale.</w:t>
      </w:r>
    </w:p>
    <w:p w14:paraId="4C9DEFD4" w14:textId="77777777" w:rsidR="00876A1A" w:rsidRDefault="00876A1A" w:rsidP="00876A1A">
      <w:pPr>
        <w:rPr>
          <w:rFonts w:ascii="Bookman Old Style" w:hAnsi="Bookman Old Style"/>
        </w:rPr>
      </w:pPr>
    </w:p>
    <w:p w14:paraId="0FF9DD7C" w14:textId="6C0DCB67" w:rsidR="0037451E" w:rsidRPr="00876A1A" w:rsidRDefault="0037451E" w:rsidP="001B5E96">
      <w:pPr>
        <w:pStyle w:val="Titolo2"/>
        <w:rPr>
          <w:rFonts w:ascii="Bookman Old Style" w:hAnsi="Bookman Old Style"/>
          <w:b/>
          <w:bCs/>
          <w:sz w:val="22"/>
          <w:szCs w:val="22"/>
        </w:rPr>
      </w:pPr>
      <w:bookmarkStart w:id="3" w:name="_Toc209467051"/>
      <w:r w:rsidRPr="001B5E96">
        <w:rPr>
          <w:rFonts w:ascii="Bookman Old Style" w:hAnsi="Bookman Old Style"/>
          <w:b/>
          <w:bCs/>
          <w:sz w:val="22"/>
          <w:szCs w:val="22"/>
        </w:rPr>
        <w:t>Esclus</w:t>
      </w:r>
      <w:r w:rsidR="00356E3A" w:rsidRPr="001B5E96">
        <w:rPr>
          <w:rFonts w:ascii="Bookman Old Style" w:hAnsi="Bookman Old Style"/>
          <w:b/>
          <w:bCs/>
          <w:sz w:val="22"/>
          <w:szCs w:val="22"/>
        </w:rPr>
        <w:t>ione dei magazzini dalla base imponibile TARI</w:t>
      </w:r>
      <w:bookmarkEnd w:id="3"/>
    </w:p>
    <w:p w14:paraId="62068615" w14:textId="705F72C9" w:rsidR="00876A1A" w:rsidRPr="00876A1A" w:rsidRDefault="00876A1A" w:rsidP="00E506FD">
      <w:pPr>
        <w:jc w:val="both"/>
        <w:rPr>
          <w:rFonts w:ascii="Bookman Old Style" w:hAnsi="Bookman Old Style"/>
        </w:rPr>
      </w:pPr>
      <w:r w:rsidRPr="00876A1A">
        <w:rPr>
          <w:rFonts w:ascii="Bookman Old Style" w:hAnsi="Bookman Old Style"/>
        </w:rPr>
        <w:t xml:space="preserve">La proposta normativa, pur apparentemente rivolta ad evitare l’assoggettamento alla quota fissa delle attività industriali, </w:t>
      </w:r>
      <w:r w:rsidR="001C603E">
        <w:rPr>
          <w:rFonts w:ascii="Bookman Old Style" w:hAnsi="Bookman Old Style"/>
          <w:b/>
        </w:rPr>
        <w:t xml:space="preserve">ha quale principale effetto di </w:t>
      </w:r>
      <w:r w:rsidRPr="00876A1A">
        <w:rPr>
          <w:rFonts w:ascii="Bookman Old Style" w:hAnsi="Bookman Old Style"/>
          <w:b/>
        </w:rPr>
        <w:t xml:space="preserve">escludere, </w:t>
      </w:r>
      <w:r w:rsidR="001C603E" w:rsidRPr="001C603E">
        <w:rPr>
          <w:rFonts w:ascii="Bookman Old Style" w:hAnsi="Bookman Old Style"/>
          <w:b/>
          <w:iCs/>
        </w:rPr>
        <w:t>in blocco</w:t>
      </w:r>
      <w:r w:rsidRPr="00876A1A">
        <w:rPr>
          <w:rFonts w:ascii="Bookman Old Style" w:hAnsi="Bookman Old Style"/>
          <w:b/>
        </w:rPr>
        <w:t xml:space="preserve">, </w:t>
      </w:r>
      <w:r w:rsidR="00E21E6A">
        <w:rPr>
          <w:rFonts w:ascii="Bookman Old Style" w:hAnsi="Bookman Old Style"/>
          <w:b/>
        </w:rPr>
        <w:t xml:space="preserve">tutti </w:t>
      </w:r>
      <w:r w:rsidRPr="00876A1A">
        <w:rPr>
          <w:rFonts w:ascii="Bookman Old Style" w:hAnsi="Bookman Old Style"/>
          <w:b/>
        </w:rPr>
        <w:t>i magazzini</w:t>
      </w:r>
      <w:r w:rsidRPr="00876A1A">
        <w:rPr>
          <w:rFonts w:ascii="Bookman Old Style" w:hAnsi="Bookman Old Style"/>
        </w:rPr>
        <w:t xml:space="preserve">. </w:t>
      </w:r>
    </w:p>
    <w:p w14:paraId="2F52CD50" w14:textId="4A166E32" w:rsidR="00876A1A" w:rsidRPr="00876A1A" w:rsidRDefault="00876A1A" w:rsidP="00E506FD">
      <w:pPr>
        <w:jc w:val="both"/>
        <w:rPr>
          <w:rFonts w:ascii="Bookman Old Style" w:hAnsi="Bookman Old Style"/>
        </w:rPr>
      </w:pPr>
      <w:r w:rsidRPr="00876A1A">
        <w:rPr>
          <w:rFonts w:ascii="Bookman Old Style" w:hAnsi="Bookman Old Style"/>
        </w:rPr>
        <w:t xml:space="preserve">La normativa oggi permette l’esclusione dei magazzini solo allorquando questi siano esclusivamente collegati all'esercizio di attività produttive di rifiuti speciali, ai quali si estende il divieto di assimilazione. </w:t>
      </w:r>
      <w:r w:rsidRPr="00876A1A">
        <w:rPr>
          <w:rFonts w:ascii="Bookman Old Style" w:hAnsi="Bookman Old Style"/>
          <w:b/>
        </w:rPr>
        <w:t>Pertanto, la norma</w:t>
      </w:r>
      <w:r w:rsidR="00DA15A9">
        <w:rPr>
          <w:rFonts w:ascii="Bookman Old Style" w:hAnsi="Bookman Old Style"/>
          <w:b/>
        </w:rPr>
        <w:t>tiva attuale</w:t>
      </w:r>
      <w:r w:rsidRPr="00876A1A">
        <w:rPr>
          <w:rFonts w:ascii="Bookman Old Style" w:hAnsi="Bookman Old Style"/>
          <w:b/>
        </w:rPr>
        <w:t xml:space="preserve"> non prevede alcuna detassazione generalizzata dei magazzini, ma solo di quella parte di essi ove si producono rifiuti speciali</w:t>
      </w:r>
      <w:r w:rsidRPr="00876A1A">
        <w:rPr>
          <w:rFonts w:ascii="Bookman Old Style" w:hAnsi="Bookman Old Style"/>
        </w:rPr>
        <w:t xml:space="preserve">. </w:t>
      </w:r>
    </w:p>
    <w:p w14:paraId="169B4F4E" w14:textId="77777777" w:rsidR="00876A1A" w:rsidRPr="00876A1A" w:rsidRDefault="00876A1A" w:rsidP="00E506FD">
      <w:pPr>
        <w:jc w:val="both"/>
        <w:rPr>
          <w:rFonts w:ascii="Bookman Old Style" w:hAnsi="Bookman Old Style"/>
        </w:rPr>
      </w:pPr>
      <w:r w:rsidRPr="00876A1A">
        <w:rPr>
          <w:rFonts w:ascii="Bookman Old Style" w:hAnsi="Bookman Old Style"/>
        </w:rPr>
        <w:t>Tale piana lettura della norma è stata confermata, con orientamento univoco e consolidato, dalla Corte di Cassazione.</w:t>
      </w:r>
    </w:p>
    <w:p w14:paraId="0314FB4D" w14:textId="77777777" w:rsidR="003015C8" w:rsidRDefault="00876A1A" w:rsidP="00E506FD">
      <w:pPr>
        <w:jc w:val="both"/>
        <w:rPr>
          <w:rFonts w:ascii="Bookman Old Style" w:hAnsi="Bookman Old Style"/>
        </w:rPr>
      </w:pPr>
      <w:r w:rsidRPr="00876A1A">
        <w:rPr>
          <w:rFonts w:ascii="Bookman Old Style" w:hAnsi="Bookman Old Style"/>
        </w:rPr>
        <w:t xml:space="preserve">Da ultimo, Cass. civ., Sez. V, </w:t>
      </w:r>
      <w:proofErr w:type="spellStart"/>
      <w:r w:rsidRPr="00876A1A">
        <w:rPr>
          <w:rFonts w:ascii="Bookman Old Style" w:hAnsi="Bookman Old Style"/>
        </w:rPr>
        <w:t>Ord</w:t>
      </w:r>
      <w:proofErr w:type="spellEnd"/>
      <w:r w:rsidRPr="00876A1A">
        <w:rPr>
          <w:rFonts w:ascii="Bookman Old Style" w:hAnsi="Bookman Old Style"/>
        </w:rPr>
        <w:t xml:space="preserve">., 14 maggio 2025, n. 12902: </w:t>
      </w:r>
    </w:p>
    <w:p w14:paraId="5F3E239F" w14:textId="6CDA0594" w:rsidR="00876A1A" w:rsidRPr="00876A1A" w:rsidRDefault="00876A1A" w:rsidP="003015C8">
      <w:pPr>
        <w:ind w:left="284"/>
        <w:jc w:val="both"/>
        <w:rPr>
          <w:rFonts w:ascii="Bookman Old Style" w:hAnsi="Bookman Old Style"/>
        </w:rPr>
      </w:pPr>
      <w:r w:rsidRPr="00876A1A">
        <w:rPr>
          <w:rFonts w:ascii="Bookman Old Style" w:hAnsi="Bookman Old Style"/>
        </w:rPr>
        <w:lastRenderedPageBreak/>
        <w:t>«</w:t>
      </w:r>
      <w:r w:rsidRPr="00876A1A">
        <w:rPr>
          <w:rFonts w:ascii="Bookman Old Style" w:hAnsi="Bookman Old Style"/>
          <w:i/>
        </w:rPr>
        <w:t xml:space="preserve">la formazione "continuativa e prevalente" di rifiuti speciali (non riconducibili al potere di assimilazione il cui legittimo esercizio ascriverebbe la superfice di produzione dei relativi rifiuti assimilati alla categoria della riduzione tariffaria) dà senz'altro titolo alla detassazione, il collegamento di magazzini di materie prime e di merci alle aree di produzione di rifiuti speciali non assimilabili deve risultare strettamente funzionale, ed esclusivo, di modo che non possa concepirsi una loro utilizzazione (e la loro stessa esistenza) in assenza di quelle aree di produzione dei rifiuti speciali; e con la conseguenza </w:t>
      </w:r>
      <w:r w:rsidRPr="00876A1A">
        <w:rPr>
          <w:rFonts w:ascii="Bookman Old Style" w:hAnsi="Bookman Old Style"/>
          <w:b/>
          <w:i/>
        </w:rPr>
        <w:t>che l'autonoma (ed ulteriore) produzione di rifiuti, per lo svolgimento di specifiche attività nei magazzini così considerati,</w:t>
      </w:r>
      <w:r w:rsidRPr="00876A1A">
        <w:rPr>
          <w:rFonts w:ascii="Bookman Old Style" w:hAnsi="Bookman Old Style"/>
          <w:i/>
        </w:rPr>
        <w:t xml:space="preserve"> </w:t>
      </w:r>
      <w:r w:rsidRPr="00876A1A">
        <w:rPr>
          <w:rFonts w:ascii="Bookman Old Style" w:hAnsi="Bookman Old Style"/>
          <w:b/>
          <w:i/>
        </w:rPr>
        <w:t>ne ascriverebbe il r</w:t>
      </w:r>
      <w:r w:rsidR="00FD7B73">
        <w:rPr>
          <w:rFonts w:ascii="Bookman Old Style" w:hAnsi="Bookman Old Style"/>
          <w:b/>
          <w:i/>
        </w:rPr>
        <w:t>e</w:t>
      </w:r>
      <w:r w:rsidRPr="00876A1A">
        <w:rPr>
          <w:rFonts w:ascii="Bookman Old Style" w:hAnsi="Bookman Old Style"/>
          <w:b/>
          <w:i/>
        </w:rPr>
        <w:t>gime a quello previsto nelle precedenti disposizioni (di detassazione o di riduzione tariffaria), secondo la rispettiva connotazione qualitativa (di assimilabilità o meno) e quantitativa (in termini di continuità prevalente o meno) dei rifiuti (così) ulteriormente prodotti</w:t>
      </w:r>
      <w:r w:rsidRPr="00876A1A">
        <w:rPr>
          <w:rFonts w:ascii="Bookman Old Style" w:hAnsi="Bookman Old Style"/>
          <w:b/>
        </w:rPr>
        <w:t>»</w:t>
      </w:r>
      <w:r w:rsidRPr="00876A1A">
        <w:rPr>
          <w:rFonts w:ascii="Bookman Old Style" w:hAnsi="Bookman Old Style"/>
        </w:rPr>
        <w:t>.</w:t>
      </w:r>
    </w:p>
    <w:p w14:paraId="1BDF8BBD" w14:textId="7995CBAC" w:rsidR="0041034D" w:rsidRDefault="00876A1A" w:rsidP="0031452B">
      <w:pPr>
        <w:spacing w:after="120"/>
        <w:jc w:val="both"/>
        <w:rPr>
          <w:rFonts w:ascii="Bookman Old Style" w:hAnsi="Bookman Old Style"/>
        </w:rPr>
      </w:pPr>
      <w:r w:rsidRPr="00876A1A">
        <w:rPr>
          <w:rFonts w:ascii="Bookman Old Style" w:hAnsi="Bookman Old Style"/>
        </w:rPr>
        <w:t xml:space="preserve">Ed ancora, Cass. civ., Sez. V, </w:t>
      </w:r>
      <w:proofErr w:type="spellStart"/>
      <w:r w:rsidRPr="00876A1A">
        <w:rPr>
          <w:rFonts w:ascii="Bookman Old Style" w:hAnsi="Bookman Old Style"/>
        </w:rPr>
        <w:t>Ord</w:t>
      </w:r>
      <w:proofErr w:type="spellEnd"/>
      <w:r w:rsidRPr="00876A1A">
        <w:rPr>
          <w:rFonts w:ascii="Bookman Old Style" w:hAnsi="Bookman Old Style"/>
        </w:rPr>
        <w:t>., 1° maggio 2025, n. 11476, considera anche la circolare ministeriale</w:t>
      </w:r>
      <w:r w:rsidR="00F840CB">
        <w:rPr>
          <w:rFonts w:ascii="Bookman Old Style" w:hAnsi="Bookman Old Style"/>
        </w:rPr>
        <w:t xml:space="preserve"> 12 aprile 2021</w:t>
      </w:r>
      <w:r w:rsidRPr="00876A1A">
        <w:rPr>
          <w:rFonts w:ascii="Bookman Old Style" w:hAnsi="Bookman Old Style"/>
        </w:rPr>
        <w:t>, la cui attuazione viene presa come base per la modifica normativa proposta</w:t>
      </w:r>
      <w:r w:rsidR="0041034D">
        <w:rPr>
          <w:rFonts w:ascii="Bookman Old Style" w:hAnsi="Bookman Old Style"/>
        </w:rPr>
        <w:t xml:space="preserve">, </w:t>
      </w:r>
      <w:r w:rsidR="0041034D" w:rsidRPr="0041034D">
        <w:rPr>
          <w:rFonts w:ascii="Bookman Old Style" w:hAnsi="Bookman Old Style"/>
        </w:rPr>
        <w:t>ancorché una normativa ormai indiscussa</w:t>
      </w:r>
      <w:r w:rsidR="0041034D" w:rsidRPr="0041034D">
        <w:rPr>
          <w:rFonts w:ascii="Bookman Old Style" w:hAnsi="Bookman Old Style"/>
          <w:vertAlign w:val="superscript"/>
        </w:rPr>
        <w:t xml:space="preserve"> </w:t>
      </w:r>
      <w:r w:rsidR="0041034D" w:rsidRPr="0041034D">
        <w:rPr>
          <w:rFonts w:ascii="Bookman Old Style" w:hAnsi="Bookman Old Style"/>
        </w:rPr>
        <w:t xml:space="preserve">affermi con </w:t>
      </w:r>
      <w:r w:rsidR="0041034D">
        <w:rPr>
          <w:rFonts w:ascii="Bookman Old Style" w:hAnsi="Bookman Old Style"/>
        </w:rPr>
        <w:t>nettezza</w:t>
      </w:r>
      <w:r w:rsidR="0041034D" w:rsidRPr="0041034D">
        <w:rPr>
          <w:rFonts w:ascii="Bookman Old Style" w:hAnsi="Bookman Old Style"/>
        </w:rPr>
        <w:t xml:space="preserve"> il carattere non vincolante</w:t>
      </w:r>
      <w:r w:rsidR="0041034D" w:rsidRPr="0041034D">
        <w:rPr>
          <w:rFonts w:ascii="Bookman Old Style" w:hAnsi="Bookman Old Style"/>
          <w:vertAlign w:val="superscript"/>
        </w:rPr>
        <w:t xml:space="preserve"> </w:t>
      </w:r>
      <w:r w:rsidR="0041034D" w:rsidRPr="0041034D">
        <w:rPr>
          <w:rFonts w:ascii="Bookman Old Style" w:hAnsi="Bookman Old Style"/>
        </w:rPr>
        <w:t>de</w:t>
      </w:r>
      <w:r w:rsidR="0041034D" w:rsidRPr="0041034D">
        <w:rPr>
          <w:rFonts w:ascii="Bookman Old Style" w:hAnsi="Bookman Old Style"/>
        </w:rPr>
        <w:t>i documenti di prassi ministeriale</w:t>
      </w:r>
      <w:r w:rsidRPr="0041034D">
        <w:rPr>
          <w:rFonts w:ascii="Bookman Old Style" w:hAnsi="Bookman Old Style"/>
        </w:rPr>
        <w:t>.</w:t>
      </w:r>
      <w:r w:rsidRPr="00876A1A">
        <w:rPr>
          <w:rFonts w:ascii="Bookman Old Style" w:hAnsi="Bookman Old Style"/>
        </w:rPr>
        <w:t xml:space="preserve"> In tale pronuncia si osserva: </w:t>
      </w:r>
    </w:p>
    <w:p w14:paraId="2719A7BF" w14:textId="77777777" w:rsidR="0041034D" w:rsidRDefault="00876A1A" w:rsidP="0031452B">
      <w:pPr>
        <w:spacing w:after="120"/>
        <w:ind w:left="284"/>
        <w:jc w:val="both"/>
        <w:rPr>
          <w:rFonts w:ascii="Bookman Old Style" w:hAnsi="Bookman Old Style"/>
          <w:b/>
          <w:i/>
        </w:rPr>
      </w:pPr>
      <w:r w:rsidRPr="00876A1A">
        <w:rPr>
          <w:rFonts w:ascii="Bookman Old Style" w:hAnsi="Bookman Old Style"/>
        </w:rPr>
        <w:t>«</w:t>
      </w:r>
      <w:r w:rsidRPr="00876A1A">
        <w:rPr>
          <w:rFonts w:ascii="Bookman Old Style" w:hAnsi="Bookman Old Style"/>
          <w:i/>
        </w:rPr>
        <w:t xml:space="preserve">15. La censura attiene alla non assoggettabilità a tributo delle aree adibite a magazzini strumentali alla produzione ed allo stoccaggio dei prodotti finiti, sulla base della considerazione che nei </w:t>
      </w:r>
      <w:proofErr w:type="gramStart"/>
      <w:r w:rsidRPr="00876A1A">
        <w:rPr>
          <w:rFonts w:ascii="Bookman Old Style" w:hAnsi="Bookman Old Style"/>
          <w:i/>
        </w:rPr>
        <w:t>predetti</w:t>
      </w:r>
      <w:proofErr w:type="gramEnd"/>
      <w:r w:rsidRPr="00876A1A">
        <w:rPr>
          <w:rFonts w:ascii="Bookman Old Style" w:hAnsi="Bookman Old Style"/>
          <w:i/>
        </w:rPr>
        <w:t xml:space="preserve"> locali si producono in via prevalente e continuativa rifiuti speciali. 16. Per dare soluzione al quesito posto, occorre, dunque, partire dal testo della disposizione di cui all'art. 1, comma 649 della L. 147 del 2013 (…) 17. L'incipit della norma introduce la regola generale secondo cui 'non si tiene </w:t>
      </w:r>
      <w:proofErr w:type="spellStart"/>
      <w:r w:rsidRPr="00876A1A">
        <w:rPr>
          <w:rFonts w:ascii="Bookman Old Style" w:hAnsi="Bookman Old Style"/>
          <w:i/>
        </w:rPr>
        <w:t>conto'</w:t>
      </w:r>
      <w:proofErr w:type="spellEnd"/>
      <w:r w:rsidRPr="00876A1A">
        <w:rPr>
          <w:rFonts w:ascii="Bookman Old Style" w:hAnsi="Bookman Old Style"/>
          <w:i/>
        </w:rPr>
        <w:t xml:space="preserve"> nella determinazione delle superfici assoggettate alla TARI di quelle parti ove si formano 'in via prevalente e continuativa' rifiuti speciali, sulla base del presupposto che al loro smaltimento deve provvedere il produttore. Viene altresì previsto che il regolamento comunale debba indicare le aree laddove si producono rifiuti speciali non assimilabili ai rifiuti urbani, nonché 'i magazzini di materie prime e di merci funzionalmente ed esclusivamente collegati all'esercizio di dette attività produttive. La legge individua, dunque, un collegamento fra le aree produttive ed i locali adibiti a deposito di materiali che consente l'assimilazione dei secondi alle prime, ai fini dell'esonero dall'imposta, basato su quattro presupposti: il primo è che il collegamento sia funzionale, il secondo è che il collegamento sia esclusivo, </w:t>
      </w:r>
      <w:r w:rsidRPr="00876A1A">
        <w:rPr>
          <w:rFonts w:ascii="Bookman Old Style" w:hAnsi="Bookman Old Style"/>
          <w:b/>
          <w:i/>
        </w:rPr>
        <w:t>il terzo è che in essi debbono prodursi, in via prevalente e continuativa, rifiuti speciali, il quarto riguarda la condizione di avere il produttore provveduto al trattamento dei rifiuti speciali ivi prodotti in conformità con la normativa vigente</w:t>
      </w:r>
      <w:r w:rsidRPr="00876A1A">
        <w:rPr>
          <w:rFonts w:ascii="Bookman Old Style" w:hAnsi="Bookman Old Style"/>
          <w:i/>
        </w:rPr>
        <w:t xml:space="preserve">. </w:t>
      </w:r>
      <w:r w:rsidRPr="00876A1A">
        <w:rPr>
          <w:rFonts w:ascii="Bookman Old Style" w:hAnsi="Bookman Old Style"/>
          <w:b/>
          <w:i/>
          <w:u w:val="single"/>
        </w:rPr>
        <w:t>Il magazzino deve</w:t>
      </w:r>
      <w:r w:rsidRPr="00876A1A">
        <w:rPr>
          <w:rFonts w:ascii="Bookman Old Style" w:hAnsi="Bookman Old Style"/>
          <w:i/>
        </w:rPr>
        <w:t xml:space="preserve">, quindi, essere, prima di tutto, 'servente rispetto all'opificio, in secondo luogo 'esclusivamente connesso all'attività produttiva', ovverosia non adibito ad altro, in terzo luogo, consistere </w:t>
      </w:r>
      <w:r w:rsidRPr="00876A1A">
        <w:rPr>
          <w:rFonts w:ascii="Bookman Old Style" w:hAnsi="Bookman Old Style"/>
          <w:b/>
          <w:i/>
          <w:u w:val="single"/>
        </w:rPr>
        <w:t>in un'area ove si producono, così come per i locali produttivi in senso stretto, rifiuti speciali, in modo stabile e del tutto preponderante rispetto ai rifiuti urbani assimilabili</w:t>
      </w:r>
      <w:r w:rsidRPr="00876A1A">
        <w:rPr>
          <w:rFonts w:ascii="Bookman Old Style" w:hAnsi="Bookman Old Style"/>
          <w:i/>
        </w:rPr>
        <w:t xml:space="preserve">. L'assoggettamento alla parte variabile dell'imposta (essendo sempre dovuta quella fissa, circostanza questa non contestata dalla ricorrente) </w:t>
      </w:r>
      <w:r w:rsidRPr="00876A1A">
        <w:rPr>
          <w:rFonts w:ascii="Bookman Old Style" w:hAnsi="Bookman Old Style"/>
          <w:b/>
          <w:i/>
        </w:rPr>
        <w:t>è dunque condizionato non alla semplice denominazione del locale, ma alle sue caratteristiche concrete ed all'esistenza o meno del suo collegamento funzionale ed esclusivo con l'attività produttiva.</w:t>
      </w:r>
    </w:p>
    <w:p w14:paraId="32A4C17E" w14:textId="19146E75" w:rsidR="00876A1A" w:rsidRDefault="00876A1A" w:rsidP="0031452B">
      <w:pPr>
        <w:spacing w:after="120"/>
        <w:ind w:left="284"/>
        <w:jc w:val="both"/>
        <w:rPr>
          <w:rFonts w:ascii="Bookman Old Style" w:hAnsi="Bookman Old Style"/>
          <w:i/>
        </w:rPr>
      </w:pPr>
      <w:r w:rsidRPr="00876A1A">
        <w:rPr>
          <w:rFonts w:ascii="Bookman Old Style" w:hAnsi="Bookman Old Style"/>
          <w:i/>
        </w:rPr>
        <w:t xml:space="preserve">Questa è peraltro </w:t>
      </w:r>
      <w:r w:rsidR="00C82D25">
        <w:rPr>
          <w:rFonts w:ascii="Bookman Old Style" w:hAnsi="Bookman Old Style"/>
          <w:i/>
        </w:rPr>
        <w:t xml:space="preserve">– </w:t>
      </w:r>
      <w:r w:rsidRPr="00876A1A">
        <w:rPr>
          <w:rFonts w:ascii="Bookman Old Style" w:hAnsi="Bookman Old Style"/>
          <w:i/>
        </w:rPr>
        <w:t>come ben sottolineato dalla società contribuente</w:t>
      </w:r>
      <w:r w:rsidR="00C82D25">
        <w:rPr>
          <w:rFonts w:ascii="Bookman Old Style" w:hAnsi="Bookman Old Style"/>
          <w:i/>
        </w:rPr>
        <w:t xml:space="preserve"> – </w:t>
      </w:r>
      <w:r w:rsidRPr="00876A1A">
        <w:rPr>
          <w:rFonts w:ascii="Bookman Old Style" w:hAnsi="Bookman Old Style"/>
          <w:i/>
        </w:rPr>
        <w:t xml:space="preserve">anche l'interpretazione della disposizione di cui all'art. 1 comma 649 della L. 147 del </w:t>
      </w:r>
      <w:r w:rsidRPr="00876A1A">
        <w:rPr>
          <w:rFonts w:ascii="Bookman Old Style" w:hAnsi="Bookman Old Style"/>
          <w:i/>
          <w:u w:val="single"/>
        </w:rPr>
        <w:t>2013, fornita dal Ministero dell'Economia e delle Finanze con la Risoluzione n. 2/DF del 9 dicembre 2014, in risposta ad un quesito sull'assoggettabilità alla TARI di aree scoperte e capannoni adibiti a stoccaggio di materie prime,</w:t>
      </w:r>
      <w:r w:rsidRPr="00876A1A">
        <w:rPr>
          <w:rFonts w:ascii="Bookman Old Style" w:hAnsi="Bookman Old Style"/>
          <w:i/>
        </w:rPr>
        <w:t xml:space="preserve"> magazzini intermedi di produzione e </w:t>
      </w:r>
      <w:r w:rsidRPr="00876A1A">
        <w:rPr>
          <w:rFonts w:ascii="Bookman Old Style" w:hAnsi="Bookman Old Style"/>
          <w:i/>
        </w:rPr>
        <w:lastRenderedPageBreak/>
        <w:t xml:space="preserve">magazzini di stoccaggio dei prodotti finiti. Il MEF ha, infatti, affermato che 'Il primo periodo del comma 649 della legge m. 147 del 2013 deve essere raccordato con il terzo periodo dello stesso comma che attribuisce ai comuni il compito di individuare con regolamento le aree di produzione di rifiuti speciali non assimilabili e i magazzini di materie prime e merci funzionalmente es esclusivamente collegati all'esercizio di dette attività produttive, ai quali si estende il divieto di assimilazione in quanto 'la previsione del primo periodo è finalizzata a dettare un principio generale rispetto a quanto dettato nel terzo </w:t>
      </w:r>
      <w:proofErr w:type="spellStart"/>
      <w:r w:rsidRPr="00876A1A">
        <w:rPr>
          <w:rFonts w:ascii="Bookman Old Style" w:hAnsi="Bookman Old Style"/>
          <w:i/>
        </w:rPr>
        <w:t>periodo'</w:t>
      </w:r>
      <w:proofErr w:type="spellEnd"/>
      <w:r w:rsidRPr="00876A1A">
        <w:rPr>
          <w:rFonts w:ascii="Bookman Old Style" w:hAnsi="Bookman Old Style"/>
          <w:i/>
        </w:rPr>
        <w:t xml:space="preserve"> e di conseguenza il potere previsto in capo ai comuni 'è esercitato nel solo ambito in cui è consentito'. (…) D'altro canto, questa Sezione ha già chiarito che "per i produttori di rifiuti speciali non assimilabili agli urbani </w:t>
      </w:r>
      <w:r w:rsidRPr="00876A1A">
        <w:rPr>
          <w:rFonts w:ascii="Bookman Old Style" w:hAnsi="Bookman Old Style"/>
          <w:b/>
          <w:i/>
        </w:rPr>
        <w:t xml:space="preserve">non si tiene... conto della parte dell'area dei magazzini, </w:t>
      </w:r>
      <w:r w:rsidRPr="00876A1A">
        <w:rPr>
          <w:rFonts w:ascii="Bookman Old Style" w:hAnsi="Bookman Old Style"/>
          <w:i/>
        </w:rPr>
        <w:t xml:space="preserve">funzionalmente ed esclusivamente collegata all'esercizio dell'attività produttiva, occupata da materie prime e/o merci, merceologicamente rientranti nella categoria dei rifiuti speciali non assimilabili, la cui lavorazione genera comunque rifiuti speciali non assimilabili, </w:t>
      </w:r>
      <w:r w:rsidRPr="00876A1A">
        <w:rPr>
          <w:rFonts w:ascii="Bookman Old Style" w:hAnsi="Bookman Old Style"/>
          <w:b/>
          <w:i/>
        </w:rPr>
        <w:t>fermo restando l'assoggettamento dei magazzini destinati allo stoccaggio di semilavorati e/o prodotti finiti connessi a lavorazioni produttive di rifiuti assimilati, dei magazzini di attività commerciali, dei magazzini relativi alla logistica, dei magazzini di deposito di merci e/o mezzi di terzi</w:t>
      </w:r>
      <w:r w:rsidRPr="00876A1A">
        <w:rPr>
          <w:rFonts w:ascii="Bookman Old Style" w:hAnsi="Bookman Old Style"/>
          <w:i/>
        </w:rPr>
        <w:t>" (così v. Cass. n. 18689/24 con richiamo, tra le altre, a Cass., Sez. 5, del 28/03/2023, n. 8753 e n. 8754; Cass., Sez. 5, del 30/03/2023, n. 9032)».</w:t>
      </w:r>
    </w:p>
    <w:p w14:paraId="4599CDB6" w14:textId="77777777" w:rsidR="001C603E" w:rsidRDefault="001C603E" w:rsidP="0031452B">
      <w:pPr>
        <w:spacing w:after="120"/>
        <w:ind w:left="284"/>
        <w:jc w:val="both"/>
        <w:rPr>
          <w:rFonts w:ascii="Bookman Old Style" w:hAnsi="Bookman Old Style"/>
          <w:i/>
        </w:rPr>
      </w:pPr>
    </w:p>
    <w:p w14:paraId="759FC055" w14:textId="71FE9201" w:rsidR="00876A1A" w:rsidRPr="00876A1A" w:rsidRDefault="00604C0C" w:rsidP="001B5E96">
      <w:pPr>
        <w:pStyle w:val="Titolo2"/>
        <w:rPr>
          <w:rFonts w:ascii="Bookman Old Style" w:hAnsi="Bookman Old Style"/>
          <w:b/>
          <w:bCs/>
          <w:sz w:val="22"/>
          <w:szCs w:val="22"/>
        </w:rPr>
      </w:pPr>
      <w:bookmarkStart w:id="4" w:name="_Toc209467052"/>
      <w:r w:rsidRPr="001B5E96">
        <w:rPr>
          <w:rFonts w:ascii="Bookman Old Style" w:hAnsi="Bookman Old Style"/>
          <w:b/>
          <w:bCs/>
          <w:sz w:val="22"/>
          <w:szCs w:val="22"/>
        </w:rPr>
        <w:t>Efficacia retroattiva</w:t>
      </w:r>
      <w:bookmarkEnd w:id="4"/>
    </w:p>
    <w:p w14:paraId="585B1003" w14:textId="57479653" w:rsidR="00876A1A" w:rsidRPr="00876A1A" w:rsidRDefault="00251685" w:rsidP="0031452B">
      <w:pPr>
        <w:spacing w:after="120"/>
        <w:jc w:val="both"/>
        <w:rPr>
          <w:rFonts w:ascii="Bookman Old Style" w:hAnsi="Bookman Old Style"/>
        </w:rPr>
      </w:pPr>
      <w:r>
        <w:rPr>
          <w:rFonts w:ascii="Bookman Old Style" w:hAnsi="Bookman Old Style"/>
        </w:rPr>
        <w:t xml:space="preserve">Tra gli effetti che </w:t>
      </w:r>
      <w:r w:rsidR="00C412D8">
        <w:rPr>
          <w:rFonts w:ascii="Bookman Old Style" w:hAnsi="Bookman Old Style"/>
        </w:rPr>
        <w:t xml:space="preserve">la norma proposta comporta, si rinviene anche </w:t>
      </w:r>
      <w:r w:rsidR="00384B02">
        <w:rPr>
          <w:rFonts w:ascii="Bookman Old Style" w:hAnsi="Bookman Old Style"/>
        </w:rPr>
        <w:t xml:space="preserve">la sua </w:t>
      </w:r>
      <w:r w:rsidR="00350C82">
        <w:rPr>
          <w:rFonts w:ascii="Bookman Old Style" w:hAnsi="Bookman Old Style"/>
        </w:rPr>
        <w:t xml:space="preserve">attitudine ad incidere sul </w:t>
      </w:r>
      <w:r w:rsidR="00876A1A" w:rsidRPr="00876A1A">
        <w:rPr>
          <w:rFonts w:ascii="Bookman Old Style" w:hAnsi="Bookman Old Style"/>
        </w:rPr>
        <w:t xml:space="preserve">contenzioso pendente, in tutti i gradi di giudizio. </w:t>
      </w:r>
    </w:p>
    <w:p w14:paraId="38822120" w14:textId="3618FEB3" w:rsidR="00876A1A" w:rsidRPr="00876A1A" w:rsidRDefault="00876A1A" w:rsidP="0031452B">
      <w:pPr>
        <w:spacing w:after="120"/>
        <w:jc w:val="both"/>
        <w:rPr>
          <w:rFonts w:ascii="Bookman Old Style" w:hAnsi="Bookman Old Style"/>
        </w:rPr>
      </w:pPr>
      <w:r w:rsidRPr="00876A1A">
        <w:rPr>
          <w:rFonts w:ascii="Bookman Old Style" w:hAnsi="Bookman Old Style"/>
        </w:rPr>
        <w:t xml:space="preserve">Sebbene la norma </w:t>
      </w:r>
      <w:r w:rsidR="006C3794">
        <w:rPr>
          <w:rFonts w:ascii="Bookman Old Style" w:hAnsi="Bookman Old Style"/>
        </w:rPr>
        <w:t>rechi nella sua rubrica la dicitura di</w:t>
      </w:r>
      <w:r w:rsidRPr="00876A1A">
        <w:rPr>
          <w:rFonts w:ascii="Bookman Old Style" w:hAnsi="Bookman Old Style"/>
        </w:rPr>
        <w:t xml:space="preserve"> norma d</w:t>
      </w:r>
      <w:r w:rsidR="000910B8">
        <w:rPr>
          <w:rFonts w:ascii="Bookman Old Style" w:hAnsi="Bookman Old Style"/>
        </w:rPr>
        <w:t>i “</w:t>
      </w:r>
      <w:r w:rsidRPr="00876A1A">
        <w:rPr>
          <w:rFonts w:ascii="Bookman Old Style" w:hAnsi="Bookman Old Style"/>
        </w:rPr>
        <w:t>interpretazione autentica</w:t>
      </w:r>
      <w:r w:rsidR="000910B8">
        <w:rPr>
          <w:rFonts w:ascii="Bookman Old Style" w:hAnsi="Bookman Old Style"/>
        </w:rPr>
        <w:t>”</w:t>
      </w:r>
      <w:r w:rsidR="00C82D25">
        <w:rPr>
          <w:rFonts w:ascii="Bookman Old Style" w:hAnsi="Bookman Old Style"/>
        </w:rPr>
        <w:t>,</w:t>
      </w:r>
      <w:r w:rsidRPr="00876A1A">
        <w:rPr>
          <w:rFonts w:ascii="Bookman Old Style" w:hAnsi="Bookman Old Style"/>
        </w:rPr>
        <w:t xml:space="preserve"> </w:t>
      </w:r>
      <w:r w:rsidR="00C82D25">
        <w:rPr>
          <w:rFonts w:ascii="Bookman Old Style" w:hAnsi="Bookman Old Style"/>
        </w:rPr>
        <w:t>tale caratteristica non viene ripresa nel testo</w:t>
      </w:r>
      <w:r w:rsidR="003F3EB0">
        <w:rPr>
          <w:rFonts w:ascii="Bookman Old Style" w:hAnsi="Bookman Old Style"/>
        </w:rPr>
        <w:t xml:space="preserve">, </w:t>
      </w:r>
      <w:r w:rsidRPr="00876A1A">
        <w:rPr>
          <w:rFonts w:ascii="Bookman Old Style" w:hAnsi="Bookman Old Style"/>
        </w:rPr>
        <w:t>stante l’assenza di un rinvio all’art. 1, comma 2, legge n. 212 del 2000</w:t>
      </w:r>
      <w:r w:rsidRPr="00876A1A">
        <w:rPr>
          <w:rFonts w:ascii="Bookman Old Style" w:hAnsi="Bookman Old Style"/>
          <w:vertAlign w:val="superscript"/>
        </w:rPr>
        <w:footnoteReference w:id="7"/>
      </w:r>
      <w:r w:rsidRPr="00876A1A">
        <w:rPr>
          <w:rFonts w:ascii="Bookman Old Style" w:hAnsi="Bookman Old Style"/>
        </w:rPr>
        <w:t xml:space="preserve">, è indubbio che si tratti di </w:t>
      </w:r>
      <w:r w:rsidRPr="00876A1A">
        <w:rPr>
          <w:rFonts w:ascii="Bookman Old Style" w:hAnsi="Bookman Old Style"/>
          <w:b/>
        </w:rPr>
        <w:t>una legge innovativa con efficacia retroattiva</w:t>
      </w:r>
      <w:r w:rsidRPr="00876A1A">
        <w:rPr>
          <w:rFonts w:ascii="Bookman Old Style" w:hAnsi="Bookman Old Style"/>
        </w:rPr>
        <w:t>.</w:t>
      </w:r>
    </w:p>
    <w:p w14:paraId="733DA0E3" w14:textId="4B892C56" w:rsidR="00876A1A" w:rsidRPr="00876A1A" w:rsidRDefault="00876A1A" w:rsidP="0031452B">
      <w:pPr>
        <w:spacing w:after="120"/>
        <w:rPr>
          <w:rFonts w:ascii="Bookman Old Style" w:hAnsi="Bookman Old Style"/>
        </w:rPr>
      </w:pPr>
      <w:r w:rsidRPr="00876A1A">
        <w:rPr>
          <w:rFonts w:ascii="Bookman Old Style" w:hAnsi="Bookman Old Style"/>
        </w:rPr>
        <w:t xml:space="preserve">Sul punto pare utile richiamare la sentenza della </w:t>
      </w:r>
      <w:r w:rsidR="00C82D25" w:rsidRPr="00876A1A">
        <w:rPr>
          <w:rFonts w:ascii="Bookman Old Style" w:hAnsi="Bookman Old Style"/>
        </w:rPr>
        <w:t>Corte costituzionale</w:t>
      </w:r>
      <w:r w:rsidRPr="00876A1A">
        <w:rPr>
          <w:rFonts w:ascii="Bookman Old Style" w:hAnsi="Bookman Old Style"/>
        </w:rPr>
        <w:t xml:space="preserve"> n. 4/2024.</w:t>
      </w:r>
    </w:p>
    <w:p w14:paraId="1E52239F" w14:textId="77777777" w:rsidR="00876A1A" w:rsidRPr="00876A1A" w:rsidRDefault="00876A1A" w:rsidP="0031452B">
      <w:pPr>
        <w:spacing w:after="120"/>
        <w:jc w:val="both"/>
        <w:rPr>
          <w:rFonts w:ascii="Bookman Old Style" w:hAnsi="Bookman Old Style"/>
        </w:rPr>
      </w:pPr>
      <w:r w:rsidRPr="00876A1A">
        <w:rPr>
          <w:rFonts w:ascii="Bookman Old Style" w:hAnsi="Bookman Old Style"/>
        </w:rPr>
        <w:t xml:space="preserve">La Consulta rileva che la disposizione d’interpretazione autentica è quella che, qualificata formalmente tale dallo stesso legislatore, esprime, anche nella sostanza, un significato appartenente a quelli riconducibili alla previsione interpretata secondo gli ordinari criteri dell’interpretazione della legge» (sentenza n. 133 del 2020). Diversamente, nel caso in cui la disposizione, pur </w:t>
      </w:r>
      <w:proofErr w:type="spellStart"/>
      <w:r w:rsidRPr="00876A1A">
        <w:rPr>
          <w:rFonts w:ascii="Bookman Old Style" w:hAnsi="Bookman Old Style"/>
        </w:rPr>
        <w:t>autoqualificantesi</w:t>
      </w:r>
      <w:proofErr w:type="spellEnd"/>
      <w:r w:rsidRPr="00876A1A">
        <w:rPr>
          <w:rFonts w:ascii="Bookman Old Style" w:hAnsi="Bookman Old Style"/>
        </w:rPr>
        <w:t xml:space="preserve"> interpretativa, attribuisce alla disposizione interpretata un significato nuovo, non rientrante tra quelli già estraibili dal testo originario della disposizione medesima, essa è innovativa con efficacia retroattiva.</w:t>
      </w:r>
    </w:p>
    <w:p w14:paraId="502D47AE" w14:textId="77777777" w:rsidR="00876A1A" w:rsidRPr="00876A1A" w:rsidRDefault="00876A1A" w:rsidP="0031452B">
      <w:pPr>
        <w:spacing w:after="120"/>
        <w:jc w:val="both"/>
        <w:rPr>
          <w:rFonts w:ascii="Bookman Old Style" w:hAnsi="Bookman Old Style"/>
        </w:rPr>
      </w:pPr>
      <w:r w:rsidRPr="00876A1A">
        <w:rPr>
          <w:rFonts w:ascii="Bookman Old Style" w:hAnsi="Bookman Old Style"/>
        </w:rPr>
        <w:t>Continua la Corte: «</w:t>
      </w:r>
      <w:r w:rsidRPr="00876A1A">
        <w:rPr>
          <w:rFonts w:ascii="Bookman Old Style" w:hAnsi="Bookman Old Style"/>
          <w:i/>
        </w:rPr>
        <w:t>Una volta esclusa la natura autenticamente interpretativa della disposizione, dinanzi a leggi aventi efficacia retroattiva questa Corte è chiamata ad esercitare uno scrutinio particolarmente rigoroso: ciò in ragione della centralità che assume il principio di non retroattività della legge, «inteso quale fondamentale valore di civiltà giuridica, non solo nella materia penale (art. 25 Cost.), ma anche in altri settori dell’ordinamento (sentenze n. 174 del 2019, n. 73 del 2017, n. 260 del 2015 e n. 170 del 2013)» (sentenza n. 145 del 2022)</w:t>
      </w:r>
      <w:r w:rsidRPr="00876A1A">
        <w:rPr>
          <w:rFonts w:ascii="Bookman Old Style" w:hAnsi="Bookman Old Style"/>
        </w:rPr>
        <w:t>».</w:t>
      </w:r>
    </w:p>
    <w:p w14:paraId="7423AB89" w14:textId="77777777" w:rsidR="00876A1A" w:rsidRPr="00C82D25" w:rsidRDefault="00876A1A" w:rsidP="0031452B">
      <w:pPr>
        <w:spacing w:after="120"/>
        <w:jc w:val="both"/>
        <w:rPr>
          <w:rFonts w:ascii="Bookman Old Style" w:hAnsi="Bookman Old Style"/>
        </w:rPr>
      </w:pPr>
      <w:r w:rsidRPr="00C82D25">
        <w:rPr>
          <w:rFonts w:ascii="Bookman Old Style" w:hAnsi="Bookman Old Style"/>
        </w:rPr>
        <w:t xml:space="preserve">Il controllo di costituzionalità diviene ancor più stringente qualora l’intervento legislativo retroattivo incida su giudizi ancora in corso, specialmente nel caso in cui sia coinvolta nel </w:t>
      </w:r>
      <w:r w:rsidRPr="00C82D25">
        <w:rPr>
          <w:rFonts w:ascii="Bookman Old Style" w:hAnsi="Bookman Old Style"/>
        </w:rPr>
        <w:lastRenderedPageBreak/>
        <w:t xml:space="preserve">processo un’amministrazione pubblica. </w:t>
      </w:r>
      <w:r w:rsidRPr="00C82D25">
        <w:rPr>
          <w:rFonts w:ascii="Bookman Old Style" w:hAnsi="Bookman Old Style"/>
          <w:b/>
        </w:rPr>
        <w:t>Infatti, tanto i principi costituzionali relativi ai rapporti tra potere legislativo e potere giurisdizionale, quanto i principi concernenti l’effettività della tutela giurisdizionale e la parità delle parti in giudizio, impediscono al legislatore di risolvere, con legge, specifiche controversie e di determinare, per questa via, uno sbilanciamento tra le posizioni delle parti coinvolte nel giudizio.</w:t>
      </w:r>
    </w:p>
    <w:p w14:paraId="177891FF" w14:textId="109F5818" w:rsidR="00876A1A" w:rsidRPr="00876A1A" w:rsidRDefault="00876A1A" w:rsidP="0031452B">
      <w:pPr>
        <w:spacing w:after="120"/>
        <w:jc w:val="both"/>
        <w:rPr>
          <w:rFonts w:ascii="Bookman Old Style" w:hAnsi="Bookman Old Style"/>
        </w:rPr>
      </w:pPr>
      <w:r w:rsidRPr="00876A1A">
        <w:rPr>
          <w:rFonts w:ascii="Bookman Old Style" w:hAnsi="Bookman Old Style"/>
        </w:rPr>
        <w:t xml:space="preserve">La Corte </w:t>
      </w:r>
      <w:r w:rsidR="00C82D25">
        <w:rPr>
          <w:rFonts w:ascii="Bookman Old Style" w:hAnsi="Bookman Old Style"/>
        </w:rPr>
        <w:t>c</w:t>
      </w:r>
      <w:r w:rsidRPr="00876A1A">
        <w:rPr>
          <w:rFonts w:ascii="Bookman Old Style" w:hAnsi="Bookman Old Style"/>
        </w:rPr>
        <w:t>ostituzion</w:t>
      </w:r>
      <w:r w:rsidR="00C82D25">
        <w:rPr>
          <w:rFonts w:ascii="Bookman Old Style" w:hAnsi="Bookman Old Style"/>
        </w:rPr>
        <w:t>al</w:t>
      </w:r>
      <w:r w:rsidRPr="00876A1A">
        <w:rPr>
          <w:rFonts w:ascii="Bookman Old Style" w:hAnsi="Bookman Old Style"/>
        </w:rPr>
        <w:t>e evidenzia che tra gli elementi sintomatici dell’uso distorto del potere legislativo, appare innanzitutto significativo il fatto che «</w:t>
      </w:r>
      <w:r w:rsidRPr="00C82D25">
        <w:rPr>
          <w:rFonts w:ascii="Bookman Old Style" w:hAnsi="Bookman Old Style"/>
          <w:i/>
          <w:iCs/>
        </w:rPr>
        <w:t>lo Stato o l’amministrazione pubblica</w:t>
      </w:r>
      <w:r w:rsidR="00C82D25">
        <w:rPr>
          <w:rFonts w:ascii="Bookman Old Style" w:hAnsi="Bookman Old Style"/>
        </w:rPr>
        <w:t xml:space="preserve"> [</w:t>
      </w:r>
      <w:r w:rsidRPr="00876A1A">
        <w:rPr>
          <w:rFonts w:ascii="Bookman Old Style" w:hAnsi="Bookman Old Style"/>
        </w:rPr>
        <w:t>siano</w:t>
      </w:r>
      <w:r w:rsidR="00C82D25">
        <w:rPr>
          <w:rFonts w:ascii="Bookman Old Style" w:hAnsi="Bookman Old Style"/>
        </w:rPr>
        <w:t xml:space="preserve">] </w:t>
      </w:r>
      <w:r w:rsidRPr="00876A1A">
        <w:rPr>
          <w:rFonts w:ascii="Bookman Old Style" w:hAnsi="Bookman Old Style"/>
          <w:i/>
        </w:rPr>
        <w:t xml:space="preserve">parti di un processo già radicato» </w:t>
      </w:r>
      <w:r w:rsidRPr="00C82D25">
        <w:rPr>
          <w:rFonts w:ascii="Bookman Old Style" w:hAnsi="Bookman Old Style"/>
          <w:iCs/>
        </w:rPr>
        <w:t xml:space="preserve">e che l’intervento legislativo </w:t>
      </w:r>
      <w:r w:rsidRPr="00C82D25">
        <w:rPr>
          <w:rFonts w:ascii="Bookman Old Style" w:hAnsi="Bookman Old Style"/>
          <w:b/>
          <w:iCs/>
        </w:rPr>
        <w:t>si collochi</w:t>
      </w:r>
      <w:r w:rsidRPr="00C82D25">
        <w:rPr>
          <w:rFonts w:ascii="Bookman Old Style" w:hAnsi="Bookman Old Style"/>
          <w:b/>
          <w:i/>
        </w:rPr>
        <w:t xml:space="preserve"> «a notevole distanza dall’entrata in vigore delle disposizioni oggetto di interpretazione autentica</w:t>
      </w:r>
      <w:r w:rsidRPr="00C82D25">
        <w:rPr>
          <w:rFonts w:ascii="Bookman Old Style" w:hAnsi="Bookman Old Style"/>
        </w:rPr>
        <w:t>». L’uso improprio dello strumento della legge interpretativa</w:t>
      </w:r>
      <w:r w:rsidRPr="00876A1A">
        <w:rPr>
          <w:rFonts w:ascii="Bookman Old Style" w:hAnsi="Bookman Old Style"/>
        </w:rPr>
        <w:t xml:space="preserve">, ove questa incida sul contenzioso pendente, concorre a disvelare la volontà del legislatore di incidere retroattivamente sui rapporti in essere e di condizionare i giudizi in corso. Ma, soprattutto, risulta decisivo il fatto che il legislatore </w:t>
      </w:r>
      <w:proofErr w:type="gramStart"/>
      <w:r w:rsidR="00CD61DA">
        <w:rPr>
          <w:rFonts w:ascii="Bookman Old Style" w:hAnsi="Bookman Old Style"/>
        </w:rPr>
        <w:t>intenda</w:t>
      </w:r>
      <w:proofErr w:type="gramEnd"/>
      <w:r w:rsidR="00CD61DA">
        <w:rPr>
          <w:rFonts w:ascii="Bookman Old Style" w:hAnsi="Bookman Old Style"/>
        </w:rPr>
        <w:t xml:space="preserve"> adottare </w:t>
      </w:r>
      <w:r w:rsidRPr="00876A1A">
        <w:rPr>
          <w:rFonts w:ascii="Bookman Old Style" w:hAnsi="Bookman Old Style"/>
        </w:rPr>
        <w:t xml:space="preserve">una disposizione, esattamente come nel caso in questione, </w:t>
      </w:r>
      <w:r w:rsidRPr="00C82D25">
        <w:rPr>
          <w:rFonts w:ascii="Bookman Old Style" w:hAnsi="Bookman Old Style"/>
          <w:b/>
        </w:rPr>
        <w:t>per superare un orientamento giurisprudenziale consolidato, al fine specifico di incidere su giudizi ancora pendenti</w:t>
      </w:r>
      <w:r w:rsidRPr="00876A1A">
        <w:rPr>
          <w:rFonts w:ascii="Bookman Old Style" w:hAnsi="Bookman Old Style"/>
        </w:rPr>
        <w:t xml:space="preserve"> in cui era parte l’amministrazione pubblica, fatta salva la sola esecuzione dei giudicati già formatisi alla data di entrata in vigore della disposizione medesima. E che tale sia l’obiettivo della proposta di legge risulta evidente tanto dalla </w:t>
      </w:r>
      <w:r w:rsidR="00115B4D">
        <w:rPr>
          <w:rFonts w:ascii="Bookman Old Style" w:hAnsi="Bookman Old Style"/>
        </w:rPr>
        <w:t>P</w:t>
      </w:r>
      <w:r w:rsidRPr="00876A1A">
        <w:rPr>
          <w:rFonts w:ascii="Bookman Old Style" w:hAnsi="Bookman Old Style"/>
        </w:rPr>
        <w:t xml:space="preserve">roposta di legge </w:t>
      </w:r>
      <w:r w:rsidR="00115B4D">
        <w:rPr>
          <w:rFonts w:ascii="Bookman Old Style" w:hAnsi="Bookman Old Style"/>
        </w:rPr>
        <w:t xml:space="preserve">in esame, </w:t>
      </w:r>
      <w:r w:rsidRPr="00876A1A">
        <w:rPr>
          <w:rFonts w:ascii="Bookman Old Style" w:hAnsi="Bookman Old Style"/>
        </w:rPr>
        <w:t>tanto dal</w:t>
      </w:r>
      <w:r w:rsidR="00115B4D">
        <w:rPr>
          <w:rFonts w:ascii="Bookman Old Style" w:hAnsi="Bookman Old Style"/>
        </w:rPr>
        <w:t>la</w:t>
      </w:r>
      <w:r w:rsidRPr="00876A1A">
        <w:rPr>
          <w:rFonts w:ascii="Bookman Old Style" w:hAnsi="Bookman Old Style"/>
        </w:rPr>
        <w:t xml:space="preserve"> Scheda di lettura</w:t>
      </w:r>
      <w:r w:rsidRPr="00876A1A">
        <w:rPr>
          <w:rFonts w:ascii="Bookman Old Style" w:hAnsi="Bookman Old Style"/>
          <w:vertAlign w:val="superscript"/>
        </w:rPr>
        <w:footnoteReference w:id="8"/>
      </w:r>
      <w:r w:rsidRPr="00876A1A">
        <w:rPr>
          <w:rFonts w:ascii="Bookman Old Style" w:hAnsi="Bookman Old Style"/>
        </w:rPr>
        <w:t>. Conclude la Corte Costituzionale affermando che “</w:t>
      </w:r>
      <w:r w:rsidRPr="00876A1A">
        <w:rPr>
          <w:rFonts w:ascii="Bookman Old Style" w:hAnsi="Bookman Old Style"/>
          <w:i/>
        </w:rPr>
        <w:t xml:space="preserve">in ragione di tutto ciò, la disposizione censurata, </w:t>
      </w:r>
      <w:r w:rsidRPr="00411D52">
        <w:rPr>
          <w:rFonts w:ascii="Bookman Old Style" w:hAnsi="Bookman Old Style"/>
          <w:b/>
          <w:i/>
        </w:rPr>
        <w:t>avendo introdotto una norma innovativa ad efficacia retroattiva, al fine specifico di incidere su giudizi pendenti in cui era parte la stessa amministrazione pubblica</w:t>
      </w:r>
      <w:r w:rsidRPr="00411D52">
        <w:rPr>
          <w:rFonts w:ascii="Bookman Old Style" w:hAnsi="Bookman Old Style"/>
          <w:i/>
        </w:rPr>
        <w:t>,</w:t>
      </w:r>
      <w:r w:rsidRPr="00876A1A">
        <w:rPr>
          <w:rFonts w:ascii="Bookman Old Style" w:hAnsi="Bookman Old Style"/>
          <w:i/>
        </w:rPr>
        <w:t xml:space="preserve"> e in assenza di ragioni imperative di interesse generale, si è posta in contrasto con i principi del giusto processo e della parità delle parti in giudizio, sanciti dagli artt. 111, commi primo e secondo, e 117, primo comma, Cost, quest’ultimo in relazione all’art. 6 CEDU, nonché con i principi di eguaglianza, ragionevolezza e certezza dell’ordinamento giuridico di cui all’art. 3 Cost.».</w:t>
      </w:r>
    </w:p>
    <w:p w14:paraId="0785946B" w14:textId="13191FED" w:rsidR="00876A1A" w:rsidRDefault="00876A1A" w:rsidP="00B15526">
      <w:pPr>
        <w:jc w:val="both"/>
        <w:rPr>
          <w:rFonts w:ascii="Bookman Old Style" w:hAnsi="Bookman Old Style"/>
          <w:b/>
          <w:bCs/>
        </w:rPr>
      </w:pPr>
      <w:r w:rsidRPr="00876A1A">
        <w:rPr>
          <w:rFonts w:ascii="Bookman Old Style" w:hAnsi="Bookman Old Style"/>
          <w:b/>
          <w:bCs/>
        </w:rPr>
        <w:t>Va da s</w:t>
      </w:r>
      <w:r w:rsidR="00411D52">
        <w:rPr>
          <w:rFonts w:ascii="Bookman Old Style" w:hAnsi="Bookman Old Style"/>
          <w:b/>
          <w:bCs/>
        </w:rPr>
        <w:t>é</w:t>
      </w:r>
      <w:r w:rsidRPr="00876A1A">
        <w:rPr>
          <w:rFonts w:ascii="Bookman Old Style" w:hAnsi="Bookman Old Style"/>
          <w:b/>
          <w:bCs/>
        </w:rPr>
        <w:t xml:space="preserve"> che nei contenziosi pendenti sono i Comuni a subire una modifica normativa </w:t>
      </w:r>
      <w:r w:rsidR="0031452B">
        <w:rPr>
          <w:rFonts w:ascii="Bookman Old Style" w:hAnsi="Bookman Old Style"/>
          <w:b/>
          <w:bCs/>
        </w:rPr>
        <w:t xml:space="preserve">– </w:t>
      </w:r>
      <w:r w:rsidRPr="00876A1A">
        <w:rPr>
          <w:rFonts w:ascii="Bookman Old Style" w:hAnsi="Bookman Old Style"/>
          <w:b/>
          <w:bCs/>
        </w:rPr>
        <w:t xml:space="preserve">veicolata da determinati portatori di interesse coincidenti con l’altra parte in giudizio </w:t>
      </w:r>
      <w:r w:rsidR="0031452B">
        <w:rPr>
          <w:rFonts w:ascii="Bookman Old Style" w:hAnsi="Bookman Old Style"/>
          <w:b/>
          <w:bCs/>
        </w:rPr>
        <w:t xml:space="preserve">– </w:t>
      </w:r>
      <w:r w:rsidRPr="00876A1A">
        <w:rPr>
          <w:rFonts w:ascii="Bookman Old Style" w:hAnsi="Bookman Old Style"/>
          <w:b/>
          <w:bCs/>
        </w:rPr>
        <w:t>finalizzata a superare il consolidato orientamento di legittimità, posto peraltro alla base dello stesso agire comunale.</w:t>
      </w:r>
    </w:p>
    <w:p w14:paraId="65B10736" w14:textId="77777777" w:rsidR="0031452B" w:rsidRDefault="0031452B" w:rsidP="00B15526">
      <w:pPr>
        <w:jc w:val="both"/>
        <w:rPr>
          <w:rFonts w:ascii="Bookman Old Style" w:hAnsi="Bookman Old Style"/>
          <w:b/>
          <w:bCs/>
        </w:rPr>
      </w:pPr>
    </w:p>
    <w:p w14:paraId="37946F9F" w14:textId="07098DF6" w:rsidR="00AC5024" w:rsidRPr="00876A1A" w:rsidRDefault="00AC5024" w:rsidP="001B5E96">
      <w:pPr>
        <w:pStyle w:val="Titolo2"/>
        <w:rPr>
          <w:rFonts w:ascii="Bookman Old Style" w:hAnsi="Bookman Old Style"/>
          <w:b/>
          <w:bCs/>
          <w:sz w:val="22"/>
          <w:szCs w:val="22"/>
        </w:rPr>
      </w:pPr>
      <w:bookmarkStart w:id="5" w:name="_Toc209467053"/>
      <w:r w:rsidRPr="001B5E96">
        <w:rPr>
          <w:rFonts w:ascii="Bookman Old Style" w:hAnsi="Bookman Old Style"/>
          <w:b/>
          <w:bCs/>
          <w:sz w:val="22"/>
          <w:szCs w:val="22"/>
        </w:rPr>
        <w:t xml:space="preserve">La </w:t>
      </w:r>
      <w:r w:rsidR="002C4AE4" w:rsidRPr="001B5E96">
        <w:rPr>
          <w:rFonts w:ascii="Bookman Old Style" w:hAnsi="Bookman Old Style"/>
          <w:b/>
          <w:bCs/>
          <w:sz w:val="22"/>
          <w:szCs w:val="22"/>
        </w:rPr>
        <w:t>bozza di decreto legislativo di attuazione dell’art.14 della delega fiscale</w:t>
      </w:r>
      <w:bookmarkEnd w:id="5"/>
    </w:p>
    <w:p w14:paraId="2A9B89DD" w14:textId="2BF5742B" w:rsidR="00876A1A" w:rsidRPr="00876A1A" w:rsidRDefault="00876A1A" w:rsidP="00AC5024">
      <w:pPr>
        <w:jc w:val="both"/>
        <w:rPr>
          <w:rFonts w:ascii="Bookman Old Style" w:hAnsi="Bookman Old Style"/>
        </w:rPr>
      </w:pPr>
      <w:r w:rsidRPr="00876A1A">
        <w:rPr>
          <w:rFonts w:ascii="Bookman Old Style" w:hAnsi="Bookman Old Style"/>
        </w:rPr>
        <w:t xml:space="preserve">Infine, occorre ricordare che lo stesso Ministero </w:t>
      </w:r>
      <w:r w:rsidR="00411D52">
        <w:rPr>
          <w:rFonts w:ascii="Bookman Old Style" w:hAnsi="Bookman Old Style"/>
        </w:rPr>
        <w:t xml:space="preserve">dell’economia </w:t>
      </w:r>
      <w:r w:rsidRPr="00876A1A">
        <w:rPr>
          <w:rFonts w:ascii="Bookman Old Style" w:hAnsi="Bookman Old Style"/>
        </w:rPr>
        <w:t xml:space="preserve">aveva </w:t>
      </w:r>
      <w:r w:rsidR="00411D52">
        <w:rPr>
          <w:rFonts w:ascii="Bookman Old Style" w:hAnsi="Bookman Old Style"/>
        </w:rPr>
        <w:t xml:space="preserve">manifestato l’opportunità di </w:t>
      </w:r>
      <w:r w:rsidRPr="00876A1A">
        <w:rPr>
          <w:rFonts w:ascii="Bookman Old Style" w:hAnsi="Bookman Old Style"/>
        </w:rPr>
        <w:t xml:space="preserve">adeguarsi ai consolidati principi di diritto enunciati dalla Corte di Cassazione </w:t>
      </w:r>
      <w:r w:rsidR="00411D52">
        <w:rPr>
          <w:rFonts w:ascii="Bookman Old Style" w:hAnsi="Bookman Old Style"/>
        </w:rPr>
        <w:t xml:space="preserve">– </w:t>
      </w:r>
      <w:r w:rsidRPr="00876A1A">
        <w:rPr>
          <w:rFonts w:ascii="Bookman Old Style" w:hAnsi="Bookman Old Style"/>
        </w:rPr>
        <w:t>tali da potersi definire “diritto vivente”</w:t>
      </w:r>
      <w:r w:rsidR="00411D52">
        <w:rPr>
          <w:rFonts w:ascii="Bookman Old Style" w:hAnsi="Bookman Old Style"/>
        </w:rPr>
        <w:t xml:space="preserve"> – </w:t>
      </w:r>
      <w:r w:rsidRPr="00876A1A">
        <w:rPr>
          <w:rFonts w:ascii="Bookman Old Style" w:hAnsi="Bookman Old Style"/>
        </w:rPr>
        <w:t xml:space="preserve">sebbene in forma attenuata. </w:t>
      </w:r>
      <w:r w:rsidRPr="00DE6F49">
        <w:rPr>
          <w:rFonts w:ascii="Bookman Old Style" w:hAnsi="Bookman Old Style"/>
          <w:b/>
          <w:bCs/>
        </w:rPr>
        <w:t>L’ipotesi di modifica normativa risultante dai tavoli tecnici MEF-ANCI</w:t>
      </w:r>
      <w:r w:rsidR="00AC5024">
        <w:rPr>
          <w:rFonts w:ascii="Bookman Old Style" w:hAnsi="Bookman Old Style"/>
        </w:rPr>
        <w:t xml:space="preserve"> sull’attuazione dell’articolo 14 della legge delega fiscale (legge </w:t>
      </w:r>
      <w:r w:rsidR="002C4AE4">
        <w:rPr>
          <w:rFonts w:ascii="Bookman Old Style" w:hAnsi="Bookman Old Style"/>
        </w:rPr>
        <w:t>n.111 del 2023)</w:t>
      </w:r>
      <w:r w:rsidRPr="00876A1A">
        <w:rPr>
          <w:rFonts w:ascii="Bookman Old Style" w:hAnsi="Bookman Old Style"/>
        </w:rPr>
        <w:t xml:space="preserve">, confluita nella penultima bozza di decreto legislativo di attuazione della delega fiscale con riferimento al comparto </w:t>
      </w:r>
      <w:r w:rsidRPr="00876A1A">
        <w:rPr>
          <w:rFonts w:ascii="Bookman Old Style" w:hAnsi="Bookman Old Style"/>
        </w:rPr>
        <w:lastRenderedPageBreak/>
        <w:t xml:space="preserve">degli enti territoriali, </w:t>
      </w:r>
      <w:r w:rsidRPr="00DE6F49">
        <w:rPr>
          <w:rFonts w:ascii="Bookman Old Style" w:hAnsi="Bookman Old Style"/>
          <w:b/>
          <w:bCs/>
        </w:rPr>
        <w:t>prevedeva l’addebito alle attività industriali del solo 40% della quota fissa</w:t>
      </w:r>
      <w:r w:rsidRPr="00876A1A">
        <w:rPr>
          <w:rFonts w:ascii="Bookman Old Style" w:hAnsi="Bookman Old Style"/>
          <w:vertAlign w:val="superscript"/>
        </w:rPr>
        <w:footnoteReference w:id="9"/>
      </w:r>
      <w:r w:rsidRPr="00876A1A">
        <w:rPr>
          <w:rFonts w:ascii="Bookman Old Style" w:hAnsi="Bookman Old Style"/>
        </w:rPr>
        <w:t>.</w:t>
      </w:r>
    </w:p>
    <w:p w14:paraId="15535C96" w14:textId="77ACAA81" w:rsidR="001C603E" w:rsidRPr="00FD3ABE" w:rsidRDefault="001C603E" w:rsidP="001C603E">
      <w:pPr>
        <w:jc w:val="both"/>
        <w:rPr>
          <w:rFonts w:ascii="Bookman Old Style" w:hAnsi="Bookman Old Style"/>
          <w:bCs/>
          <w:iCs/>
        </w:rPr>
      </w:pPr>
      <w:r w:rsidRPr="00FD3ABE">
        <w:rPr>
          <w:rFonts w:ascii="Bookman Old Style" w:hAnsi="Bookman Old Style"/>
          <w:bCs/>
          <w:iCs/>
        </w:rPr>
        <w:t xml:space="preserve">L’adozione </w:t>
      </w:r>
      <w:r w:rsidR="00FD3ABE" w:rsidRPr="00FD3ABE">
        <w:rPr>
          <w:rFonts w:ascii="Bookman Old Style" w:hAnsi="Bookman Old Style"/>
          <w:bCs/>
          <w:iCs/>
        </w:rPr>
        <w:t xml:space="preserve">della proposta normativa emersa </w:t>
      </w:r>
      <w:r w:rsidR="00F46931">
        <w:rPr>
          <w:rFonts w:ascii="Bookman Old Style" w:hAnsi="Bookman Old Style"/>
          <w:bCs/>
          <w:iCs/>
        </w:rPr>
        <w:t>nel confronto</w:t>
      </w:r>
      <w:r w:rsidR="00FD3ABE" w:rsidRPr="00FD3ABE">
        <w:rPr>
          <w:rFonts w:ascii="Bookman Old Style" w:hAnsi="Bookman Old Style"/>
          <w:bCs/>
          <w:iCs/>
        </w:rPr>
        <w:t xml:space="preserve"> MEF-ANCI</w:t>
      </w:r>
      <w:r w:rsidRPr="00FD3ABE">
        <w:rPr>
          <w:rFonts w:ascii="Bookman Old Style" w:hAnsi="Bookman Old Style"/>
          <w:bCs/>
          <w:iCs/>
        </w:rPr>
        <w:t xml:space="preserve"> permetterebbe di regolare in modo organico l’assoggettamento alla quota fissa (in linea di principio totale), in osservanza dei principi di diritto emersi con la giurisprudenza di legittimità, ma ampliando la base imponibile in modo uniforme e mitigandone così l’impatto sulle utenze produttive. </w:t>
      </w:r>
      <w:r w:rsidR="00DE6F49" w:rsidRPr="00FD3ABE">
        <w:rPr>
          <w:rFonts w:ascii="Bookman Old Style" w:hAnsi="Bookman Old Style"/>
          <w:bCs/>
          <w:iCs/>
        </w:rPr>
        <w:t>In questa chiave, l’intervento potrebbe avere efficacia anche con riferimento ai magazzini interamente dedicati alle attività produttive di rifiuti speciali cui sono collegati e</w:t>
      </w:r>
      <w:r w:rsidR="00FD3ABE" w:rsidRPr="00FD3ABE">
        <w:rPr>
          <w:rFonts w:ascii="Bookman Old Style" w:hAnsi="Bookman Old Style"/>
          <w:bCs/>
          <w:iCs/>
        </w:rPr>
        <w:t>,</w:t>
      </w:r>
      <w:r w:rsidR="00DE6F49" w:rsidRPr="00FD3ABE">
        <w:rPr>
          <w:rFonts w:ascii="Bookman Old Style" w:hAnsi="Bookman Old Style"/>
          <w:bCs/>
          <w:iCs/>
        </w:rPr>
        <w:t xml:space="preserve"> </w:t>
      </w:r>
      <w:r w:rsidR="00FD3ABE" w:rsidRPr="00FD3ABE">
        <w:rPr>
          <w:rFonts w:ascii="Bookman Old Style" w:hAnsi="Bookman Old Style"/>
          <w:bCs/>
          <w:iCs/>
        </w:rPr>
        <w:t>inoltre,</w:t>
      </w:r>
      <w:r w:rsidR="00DE6F49" w:rsidRPr="00FD3ABE">
        <w:rPr>
          <w:rFonts w:ascii="Bookman Old Style" w:hAnsi="Bookman Old Style"/>
          <w:bCs/>
          <w:iCs/>
        </w:rPr>
        <w:t xml:space="preserve"> applicabile in modo retroattivo sulle controversie pendenti, in coerenza con le prescrizioni sulla retroattività richiamate nel testo (cfr. nota 7).</w:t>
      </w:r>
    </w:p>
    <w:p w14:paraId="29937A46" w14:textId="1EBF16CC" w:rsidR="001C603E" w:rsidRDefault="001C603E" w:rsidP="001C603E">
      <w:pPr>
        <w:jc w:val="both"/>
        <w:rPr>
          <w:rFonts w:ascii="Bookman Old Style" w:hAnsi="Bookman Old Style"/>
          <w:bCs/>
          <w:iCs/>
        </w:rPr>
      </w:pPr>
      <w:r w:rsidRPr="00FD3ABE">
        <w:rPr>
          <w:rFonts w:ascii="Bookman Old Style" w:hAnsi="Bookman Old Style"/>
          <w:bCs/>
          <w:iCs/>
        </w:rPr>
        <w:t xml:space="preserve">Va in proposito osservato che la dimensione del contenzioso </w:t>
      </w:r>
      <w:r w:rsidR="00DE6F49" w:rsidRPr="00FD3ABE">
        <w:rPr>
          <w:rFonts w:ascii="Bookman Old Style" w:hAnsi="Bookman Old Style"/>
          <w:bCs/>
          <w:iCs/>
        </w:rPr>
        <w:t xml:space="preserve">sul recupero dell’intera quota fissa verso le utenze industriali </w:t>
      </w:r>
      <w:r w:rsidRPr="00FD3ABE">
        <w:rPr>
          <w:rFonts w:ascii="Bookman Old Style" w:hAnsi="Bookman Old Style"/>
          <w:bCs/>
          <w:iCs/>
        </w:rPr>
        <w:t xml:space="preserve">sembra essere meno ampia di quanto </w:t>
      </w:r>
      <w:r w:rsidR="00DE6F49" w:rsidRPr="00FD3ABE">
        <w:rPr>
          <w:rFonts w:ascii="Bookman Old Style" w:hAnsi="Bookman Old Style"/>
          <w:bCs/>
          <w:iCs/>
        </w:rPr>
        <w:t xml:space="preserve">deve </w:t>
      </w:r>
      <w:r w:rsidRPr="00FD3ABE">
        <w:rPr>
          <w:rFonts w:ascii="Bookman Old Style" w:hAnsi="Bookman Old Style"/>
          <w:bCs/>
          <w:iCs/>
        </w:rPr>
        <w:t>intendersi dalla documentazione a corredo della Proposta di legge in esame e ciò permette</w:t>
      </w:r>
      <w:r w:rsidR="00DE6F49" w:rsidRPr="00FD3ABE">
        <w:rPr>
          <w:rFonts w:ascii="Bookman Old Style" w:hAnsi="Bookman Old Style"/>
          <w:bCs/>
          <w:iCs/>
        </w:rPr>
        <w:t xml:space="preserve"> di affrontare in modo più sereno l’ipotesi regolazione generale sopra prospettata.</w:t>
      </w:r>
      <w:r>
        <w:rPr>
          <w:rFonts w:ascii="Bookman Old Style" w:hAnsi="Bookman Old Style"/>
          <w:bCs/>
          <w:iCs/>
        </w:rPr>
        <w:t xml:space="preserve"> </w:t>
      </w:r>
    </w:p>
    <w:p w14:paraId="0770E264" w14:textId="77777777" w:rsidR="00DE6F49" w:rsidRDefault="00DE6F49" w:rsidP="001B5E96">
      <w:pPr>
        <w:pStyle w:val="Titolo2"/>
        <w:rPr>
          <w:rFonts w:ascii="Bookman Old Style" w:hAnsi="Bookman Old Style"/>
          <w:b/>
          <w:bCs/>
          <w:sz w:val="22"/>
          <w:szCs w:val="22"/>
        </w:rPr>
      </w:pPr>
      <w:bookmarkStart w:id="6" w:name="_Toc209467054"/>
    </w:p>
    <w:p w14:paraId="21D908AE" w14:textId="23DA4409" w:rsidR="00876A1A" w:rsidRPr="001B5E96" w:rsidRDefault="001277A2" w:rsidP="001B5E96">
      <w:pPr>
        <w:pStyle w:val="Titolo2"/>
        <w:rPr>
          <w:rFonts w:ascii="Bookman Old Style" w:hAnsi="Bookman Old Style"/>
          <w:b/>
          <w:bCs/>
          <w:sz w:val="22"/>
          <w:szCs w:val="22"/>
        </w:rPr>
      </w:pPr>
      <w:r w:rsidRPr="001B5E96">
        <w:rPr>
          <w:rFonts w:ascii="Bookman Old Style" w:hAnsi="Bookman Old Style"/>
          <w:b/>
          <w:bCs/>
          <w:sz w:val="22"/>
          <w:szCs w:val="22"/>
        </w:rPr>
        <w:t>Conclusioni</w:t>
      </w:r>
      <w:bookmarkEnd w:id="6"/>
    </w:p>
    <w:p w14:paraId="4D2FAD04" w14:textId="2DEC930A" w:rsidR="000A78DA" w:rsidRDefault="001277A2" w:rsidP="00CC6996">
      <w:pPr>
        <w:jc w:val="both"/>
        <w:rPr>
          <w:rFonts w:ascii="Bookman Old Style" w:hAnsi="Bookman Old Style"/>
        </w:rPr>
      </w:pPr>
      <w:r>
        <w:rPr>
          <w:rFonts w:ascii="Bookman Old Style" w:hAnsi="Bookman Old Style"/>
        </w:rPr>
        <w:t xml:space="preserve">L’Anci esprime la </w:t>
      </w:r>
      <w:r w:rsidR="005F107B">
        <w:rPr>
          <w:rFonts w:ascii="Bookman Old Style" w:hAnsi="Bookman Old Style"/>
        </w:rPr>
        <w:t>propria</w:t>
      </w:r>
      <w:r>
        <w:rPr>
          <w:rFonts w:ascii="Bookman Old Style" w:hAnsi="Bookman Old Style"/>
        </w:rPr>
        <w:t xml:space="preserve"> contrarietà alla Proposta di legge in esame </w:t>
      </w:r>
      <w:r w:rsidR="009152D6">
        <w:rPr>
          <w:rFonts w:ascii="Bookman Old Style" w:hAnsi="Bookman Old Style"/>
        </w:rPr>
        <w:t>per le motivazioni riportate nel presente documento</w:t>
      </w:r>
      <w:r w:rsidR="001C603E">
        <w:rPr>
          <w:rFonts w:ascii="Bookman Old Style" w:hAnsi="Bookman Old Style"/>
        </w:rPr>
        <w:t xml:space="preserve"> </w:t>
      </w:r>
      <w:r w:rsidR="00CC6996">
        <w:rPr>
          <w:rFonts w:ascii="Bookman Old Style" w:hAnsi="Bookman Old Style"/>
        </w:rPr>
        <w:t xml:space="preserve">e ribadisce, ancora una volta, </w:t>
      </w:r>
      <w:r w:rsidR="00CC6996" w:rsidRPr="009D7822">
        <w:rPr>
          <w:rFonts w:ascii="Bookman Old Style" w:hAnsi="Bookman Old Style"/>
        </w:rPr>
        <w:t xml:space="preserve">come la </w:t>
      </w:r>
      <w:r w:rsidR="00CC6996" w:rsidRPr="009D7822">
        <w:rPr>
          <w:rFonts w:ascii="Bookman Old Style" w:hAnsi="Bookman Old Style"/>
          <w:b/>
          <w:bCs/>
        </w:rPr>
        <w:t>quota fissa abbia la funzione di far concorrere tutti i contribuenti interessati dal tributo alla copertura di spese pubbliche afferenti a</w:t>
      </w:r>
      <w:r w:rsidR="005F107B">
        <w:rPr>
          <w:rFonts w:ascii="Bookman Old Style" w:hAnsi="Bookman Old Style"/>
          <w:b/>
          <w:bCs/>
        </w:rPr>
        <w:t>lla parte “</w:t>
      </w:r>
      <w:r w:rsidR="00CC6996" w:rsidRPr="009D7822">
        <w:rPr>
          <w:rFonts w:ascii="Bookman Old Style" w:hAnsi="Bookman Old Style"/>
          <w:b/>
          <w:bCs/>
        </w:rPr>
        <w:t>indivisibile</w:t>
      </w:r>
      <w:r w:rsidR="005F107B">
        <w:rPr>
          <w:rFonts w:ascii="Bookman Old Style" w:hAnsi="Bookman Old Style"/>
          <w:b/>
          <w:bCs/>
        </w:rPr>
        <w:t>” del servizio di gestione dei rifiuti (e dell’igiene urbana)</w:t>
      </w:r>
      <w:r w:rsidR="00CC6996" w:rsidRPr="009D7822">
        <w:rPr>
          <w:rFonts w:ascii="Bookman Old Style" w:hAnsi="Bookman Old Style"/>
          <w:b/>
          <w:bCs/>
        </w:rPr>
        <w:t>, reso a favore della collettività</w:t>
      </w:r>
      <w:r w:rsidR="005F107B">
        <w:rPr>
          <w:rFonts w:ascii="Bookman Old Style" w:hAnsi="Bookman Old Style"/>
          <w:b/>
          <w:bCs/>
        </w:rPr>
        <w:t xml:space="preserve"> nel suo complesso e non </w:t>
      </w:r>
      <w:r w:rsidR="00CC6996" w:rsidRPr="009D7822">
        <w:rPr>
          <w:rFonts w:ascii="Bookman Old Style" w:hAnsi="Bookman Old Style"/>
          <w:b/>
          <w:bCs/>
        </w:rPr>
        <w:t>riconducibile a</w:t>
      </w:r>
      <w:r w:rsidR="005F107B">
        <w:rPr>
          <w:rFonts w:ascii="Bookman Old Style" w:hAnsi="Bookman Old Style"/>
          <w:b/>
          <w:bCs/>
        </w:rPr>
        <w:t xml:space="preserve">l </w:t>
      </w:r>
      <w:r w:rsidR="00CC6996" w:rsidRPr="009D7822">
        <w:rPr>
          <w:rFonts w:ascii="Bookman Old Style" w:hAnsi="Bookman Old Style"/>
          <w:b/>
          <w:bCs/>
        </w:rPr>
        <w:t>rapporto sinallagmatico con il singolo utente.</w:t>
      </w:r>
      <w:r w:rsidR="00CC6996" w:rsidRPr="009D7822">
        <w:rPr>
          <w:rFonts w:ascii="Bookman Old Style" w:hAnsi="Bookman Old Style"/>
        </w:rPr>
        <w:t xml:space="preserve"> </w:t>
      </w:r>
      <w:r w:rsidR="005F107B">
        <w:rPr>
          <w:rFonts w:ascii="Bookman Old Style" w:hAnsi="Bookman Old Style"/>
        </w:rPr>
        <w:t>Questa parte comprende sia oneri di impianto e gestione del servizio</w:t>
      </w:r>
      <w:r w:rsidR="00DE6F49">
        <w:rPr>
          <w:rFonts w:ascii="Bookman Old Style" w:hAnsi="Bookman Old Style"/>
        </w:rPr>
        <w:t>,</w:t>
      </w:r>
      <w:r w:rsidR="005F107B">
        <w:rPr>
          <w:rFonts w:ascii="Bookman Old Style" w:hAnsi="Bookman Old Style"/>
        </w:rPr>
        <w:t xml:space="preserve"> sia </w:t>
      </w:r>
      <w:r w:rsidR="00CC6996" w:rsidRPr="009D7822">
        <w:rPr>
          <w:rFonts w:ascii="Bookman Old Style" w:hAnsi="Bookman Old Style"/>
        </w:rPr>
        <w:t>i costi dei rifiuti esterni (spazzamento e lavaggio delle strade ed aree pubbliche), di qualunque natura o provenienza giacenti sulle strade e aree pubbliche soggette a uso pubblico</w:t>
      </w:r>
      <w:r w:rsidR="005F107B">
        <w:rPr>
          <w:rFonts w:ascii="Bookman Old Style" w:hAnsi="Bookman Old Style"/>
        </w:rPr>
        <w:t xml:space="preserve"> che sono</w:t>
      </w:r>
      <w:r w:rsidR="00DE6F49">
        <w:rPr>
          <w:rFonts w:ascii="Bookman Old Style" w:hAnsi="Bookman Old Style"/>
        </w:rPr>
        <w:t>,</w:t>
      </w:r>
      <w:r w:rsidR="005F107B">
        <w:rPr>
          <w:rFonts w:ascii="Bookman Old Style" w:hAnsi="Bookman Old Style"/>
        </w:rPr>
        <w:t xml:space="preserve"> appunto</w:t>
      </w:r>
      <w:r w:rsidR="00DE6F49">
        <w:rPr>
          <w:rFonts w:ascii="Bookman Old Style" w:hAnsi="Bookman Old Style"/>
        </w:rPr>
        <w:t>,</w:t>
      </w:r>
      <w:r w:rsidR="005F107B">
        <w:rPr>
          <w:rFonts w:ascii="Bookman Old Style" w:hAnsi="Bookman Old Style"/>
        </w:rPr>
        <w:t xml:space="preserve"> costi non strettamente riconducibili alla produzione di rifiuti di ciascuna singola utenza</w:t>
      </w:r>
      <w:r w:rsidR="00CC6996" w:rsidRPr="009D7822">
        <w:rPr>
          <w:rFonts w:ascii="Bookman Old Style" w:hAnsi="Bookman Old Style"/>
        </w:rPr>
        <w:t xml:space="preserve">. </w:t>
      </w:r>
    </w:p>
    <w:p w14:paraId="6094B745" w14:textId="3616199D" w:rsidR="009D7822" w:rsidRDefault="00CC6996" w:rsidP="00F46931">
      <w:pPr>
        <w:jc w:val="both"/>
        <w:rPr>
          <w:rFonts w:ascii="Bookman Old Style" w:hAnsi="Bookman Old Style"/>
        </w:rPr>
      </w:pPr>
      <w:r w:rsidRPr="009D7822">
        <w:rPr>
          <w:rFonts w:ascii="Bookman Old Style" w:hAnsi="Bookman Old Style"/>
        </w:rPr>
        <w:t>In conclusione, la quota fissa, che tutti devono pagare</w:t>
      </w:r>
      <w:r w:rsidR="0031452B">
        <w:rPr>
          <w:rFonts w:ascii="Bookman Old Style" w:hAnsi="Bookman Old Style"/>
        </w:rPr>
        <w:t xml:space="preserve"> (nella misura eventualmente limitata come da ipotesi di cui al paragrafo precedente)</w:t>
      </w:r>
      <w:r w:rsidRPr="009D7822">
        <w:rPr>
          <w:rFonts w:ascii="Bookman Old Style" w:hAnsi="Bookman Old Style"/>
        </w:rPr>
        <w:t>, ha anche una funzione redistributiva degli oneri relativi a interventi, attività, opere e impianti ambientali, che va riscossa da tutti i soggetti che sono insediati nel territorio ove vengono erogati i servizi per la gestione dei rifiuti, al di là dell’effettiva produzione dei rifiuti, poiché tutti, come membri della collettività, ne traggono direttamente o indirettamente un beneficio.</w:t>
      </w:r>
    </w:p>
    <w:sectPr w:rsidR="009D7822">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822FA" w14:textId="77777777" w:rsidR="00E30E9D" w:rsidRDefault="00E30E9D" w:rsidP="00876A1A">
      <w:pPr>
        <w:spacing w:after="0" w:line="240" w:lineRule="auto"/>
      </w:pPr>
      <w:r>
        <w:separator/>
      </w:r>
    </w:p>
  </w:endnote>
  <w:endnote w:type="continuationSeparator" w:id="0">
    <w:p w14:paraId="2DB61EFE" w14:textId="77777777" w:rsidR="00E30E9D" w:rsidRDefault="00E30E9D" w:rsidP="00876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8147841"/>
      <w:docPartObj>
        <w:docPartGallery w:val="Page Numbers (Bottom of Page)"/>
        <w:docPartUnique/>
      </w:docPartObj>
    </w:sdtPr>
    <w:sdtContent>
      <w:p w14:paraId="3CC21BDB" w14:textId="0319FDF9" w:rsidR="00D05EE9" w:rsidRDefault="00D05EE9">
        <w:pPr>
          <w:pStyle w:val="Pidipagina"/>
          <w:jc w:val="right"/>
        </w:pPr>
        <w:r>
          <w:fldChar w:fldCharType="begin"/>
        </w:r>
        <w:r>
          <w:instrText>PAGE   \* MERGEFORMAT</w:instrText>
        </w:r>
        <w:r>
          <w:fldChar w:fldCharType="separate"/>
        </w:r>
        <w:r>
          <w:t>2</w:t>
        </w:r>
        <w:r>
          <w:fldChar w:fldCharType="end"/>
        </w:r>
      </w:p>
    </w:sdtContent>
  </w:sdt>
  <w:p w14:paraId="47221646" w14:textId="77777777" w:rsidR="00D05EE9" w:rsidRDefault="00D05EE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CF7B4" w14:textId="77777777" w:rsidR="00E30E9D" w:rsidRDefault="00E30E9D" w:rsidP="00876A1A">
      <w:pPr>
        <w:spacing w:after="0" w:line="240" w:lineRule="auto"/>
      </w:pPr>
      <w:r>
        <w:separator/>
      </w:r>
    </w:p>
  </w:footnote>
  <w:footnote w:type="continuationSeparator" w:id="0">
    <w:p w14:paraId="6C91657F" w14:textId="77777777" w:rsidR="00E30E9D" w:rsidRDefault="00E30E9D" w:rsidP="00876A1A">
      <w:pPr>
        <w:spacing w:after="0" w:line="240" w:lineRule="auto"/>
      </w:pPr>
      <w:r>
        <w:continuationSeparator/>
      </w:r>
    </w:p>
  </w:footnote>
  <w:footnote w:id="1">
    <w:p w14:paraId="7B466445" w14:textId="77777777" w:rsidR="005D1330" w:rsidRPr="00AE3934" w:rsidRDefault="005D1330" w:rsidP="005D1330">
      <w:pPr>
        <w:spacing w:after="0"/>
        <w:jc w:val="both"/>
        <w:rPr>
          <w:rFonts w:ascii="Bookman Old Style" w:hAnsi="Bookman Old Style"/>
          <w:sz w:val="18"/>
          <w:szCs w:val="18"/>
        </w:rPr>
      </w:pPr>
      <w:r>
        <w:rPr>
          <w:rStyle w:val="Rimandonotaapidipagina"/>
        </w:rPr>
        <w:footnoteRef/>
      </w:r>
      <w:r>
        <w:t xml:space="preserve"> </w:t>
      </w:r>
      <w:r>
        <w:rPr>
          <w:rFonts w:ascii="Bookman Old Style" w:hAnsi="Bookman Old Style"/>
          <w:sz w:val="18"/>
          <w:szCs w:val="18"/>
        </w:rPr>
        <w:t>La stessa Ordinanza</w:t>
      </w:r>
      <w:r w:rsidRPr="00AE3934">
        <w:rPr>
          <w:rFonts w:ascii="Bookman Old Style" w:hAnsi="Bookman Old Style"/>
          <w:sz w:val="18"/>
          <w:szCs w:val="18"/>
        </w:rPr>
        <w:t xml:space="preserve"> </w:t>
      </w:r>
      <w:r>
        <w:rPr>
          <w:rFonts w:ascii="Bookman Old Style" w:hAnsi="Bookman Old Style"/>
          <w:sz w:val="18"/>
          <w:szCs w:val="18"/>
        </w:rPr>
        <w:t xml:space="preserve">n. 13455 </w:t>
      </w:r>
      <w:r w:rsidRPr="00AE3934">
        <w:rPr>
          <w:rFonts w:ascii="Bookman Old Style" w:hAnsi="Bookman Old Style"/>
          <w:sz w:val="18"/>
          <w:szCs w:val="18"/>
        </w:rPr>
        <w:t>richiama numerosi precedenti (14038/2019, 16994/2020, 5360/2020, 22772/2021, 5429/2023).</w:t>
      </w:r>
      <w:r>
        <w:rPr>
          <w:rFonts w:ascii="Bookman Old Style" w:hAnsi="Bookman Old Style"/>
          <w:sz w:val="18"/>
          <w:szCs w:val="18"/>
        </w:rPr>
        <w:t xml:space="preserve"> Più recentemente si sono aggiunte ulteriori pronunce:</w:t>
      </w:r>
    </w:p>
    <w:p w14:paraId="568196F6" w14:textId="19AEA89F" w:rsidR="005D1330" w:rsidRPr="00AE3934" w:rsidRDefault="005D1330" w:rsidP="005D1330">
      <w:pPr>
        <w:spacing w:after="0"/>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sentenza n. 23228 del 28/08/2024: conferma che la quota fissa TARI si applica anche ai produttori di rifiuti speciali, con particolare riferimento agli imballaggi terziari.</w:t>
      </w:r>
    </w:p>
    <w:p w14:paraId="44894AC9" w14:textId="5A4C4946" w:rsidR="005D1330" w:rsidRPr="00AE3934" w:rsidRDefault="005D1330" w:rsidP="005D1330">
      <w:pPr>
        <w:spacing w:after="0"/>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sentenza n. 25668/2024: sottolinea che l’esclusione vale solo per aree dove si producono in via continuativa e prevalente rifiuti speciali, con onere probatorio a carico del contribuente.</w:t>
      </w:r>
    </w:p>
    <w:p w14:paraId="6206DEAE" w14:textId="1CBE2145" w:rsidR="005D1330" w:rsidRPr="00AE3934" w:rsidRDefault="005D1330" w:rsidP="005D1330">
      <w:pPr>
        <w:spacing w:after="0"/>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sentenza n. 2937 del 31/01/2024: ribadisce la debenza della quota fissa sulle superfici dove si producono rifiuti speciali, richiamando la funzione della quota fissa per i costi generali del servizio.</w:t>
      </w:r>
    </w:p>
    <w:p w14:paraId="3C999500" w14:textId="6DFA21A5" w:rsidR="005D1330" w:rsidRPr="00AE3934" w:rsidRDefault="005D1330" w:rsidP="005D1330">
      <w:pPr>
        <w:spacing w:after="0"/>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sentenza n. 24896 del 17/09/2024: sottolinea l’onere della prova a carico del contribuente per l’esclusione dalla quota variabile della TARI sulle aree dove si producono in via continuativa e prevalente rifiuti speciali.</w:t>
      </w:r>
    </w:p>
    <w:p w14:paraId="6AF5E808" w14:textId="34B391B9" w:rsidR="005D1330" w:rsidRPr="00AE3934" w:rsidRDefault="005D1330" w:rsidP="005D1330">
      <w:pPr>
        <w:spacing w:after="0"/>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ordinanza n. 14038 del 23/05/2019: considerata uno dei precedenti fondamentali, afferma la funzione della quota fissa per coprire i costi indivisibili del servizio.</w:t>
      </w:r>
    </w:p>
    <w:p w14:paraId="76D35C3C" w14:textId="1F7FCB5B" w:rsidR="005D1330" w:rsidRDefault="005D1330" w:rsidP="005D1330">
      <w:pPr>
        <w:pStyle w:val="Testonotaapidipagina"/>
        <w:jc w:val="both"/>
        <w:rPr>
          <w:rFonts w:ascii="Bookman Old Style" w:hAnsi="Bookman Old Style"/>
          <w:sz w:val="18"/>
          <w:szCs w:val="18"/>
        </w:rPr>
      </w:pPr>
      <w:r w:rsidRPr="00AE3934">
        <w:rPr>
          <w:rFonts w:ascii="Bookman Old Style" w:hAnsi="Bookman Old Style"/>
          <w:sz w:val="18"/>
          <w:szCs w:val="18"/>
        </w:rPr>
        <w:t>Cass</w:t>
      </w:r>
      <w:r>
        <w:rPr>
          <w:rFonts w:ascii="Bookman Old Style" w:hAnsi="Bookman Old Style"/>
          <w:sz w:val="18"/>
          <w:szCs w:val="18"/>
        </w:rPr>
        <w:t>.</w:t>
      </w:r>
      <w:r w:rsidRPr="00AE3934">
        <w:rPr>
          <w:rFonts w:ascii="Bookman Old Style" w:hAnsi="Bookman Old Style"/>
          <w:sz w:val="18"/>
          <w:szCs w:val="18"/>
        </w:rPr>
        <w:t>, ordinanza n. 5578 del 23/02/2023: conferma che la quota fissa è dovuta sempre per intero sulle superfici astrattamente idonee alla produzione di rifiuti, indipendentemente dalla produzione esclusiva di rifiuti speciali.</w:t>
      </w:r>
    </w:p>
    <w:p w14:paraId="4808B95E" w14:textId="77777777" w:rsidR="005D1330" w:rsidRPr="00AE3934" w:rsidRDefault="005D1330" w:rsidP="005D1330">
      <w:pPr>
        <w:pStyle w:val="Testonotaapidipagina"/>
        <w:jc w:val="both"/>
        <w:rPr>
          <w:rFonts w:ascii="Bookman Old Style" w:hAnsi="Bookman Old Style"/>
          <w:sz w:val="18"/>
          <w:szCs w:val="18"/>
        </w:rPr>
      </w:pPr>
    </w:p>
    <w:p w14:paraId="11BC32A1" w14:textId="77777777" w:rsidR="005D1330" w:rsidRPr="00AE3934" w:rsidRDefault="005D1330" w:rsidP="005D1330">
      <w:pPr>
        <w:pStyle w:val="Testonotaapidipagina"/>
        <w:jc w:val="both"/>
        <w:rPr>
          <w:rFonts w:ascii="Bookman Old Style" w:hAnsi="Bookman Old Style"/>
          <w:sz w:val="18"/>
          <w:szCs w:val="18"/>
        </w:rPr>
      </w:pPr>
    </w:p>
  </w:footnote>
  <w:footnote w:id="2">
    <w:p w14:paraId="41CC5484" w14:textId="77777777" w:rsidR="00876A1A" w:rsidRPr="00C82D25" w:rsidRDefault="00876A1A" w:rsidP="00C82D25">
      <w:pPr>
        <w:pStyle w:val="Testonotaapidipagina"/>
        <w:jc w:val="both"/>
        <w:rPr>
          <w:rFonts w:ascii="Bookman Old Style" w:hAnsi="Bookman Old Style"/>
          <w:sz w:val="18"/>
          <w:szCs w:val="18"/>
        </w:rPr>
      </w:pPr>
      <w:r w:rsidRPr="00C82D25">
        <w:rPr>
          <w:rStyle w:val="Rimandonotaapidipagina"/>
          <w:rFonts w:ascii="Bookman Old Style" w:hAnsi="Bookman Old Style"/>
          <w:sz w:val="18"/>
          <w:szCs w:val="18"/>
        </w:rPr>
        <w:footnoteRef/>
      </w:r>
      <w:r w:rsidRPr="00C82D25">
        <w:rPr>
          <w:rFonts w:ascii="Bookman Old Style" w:hAnsi="Bookman Old Style"/>
          <w:sz w:val="18"/>
          <w:szCs w:val="18"/>
        </w:rPr>
        <w:t xml:space="preserve"> La precisazione di una produzione “continuativa e prevalente” già prevista nel testo vigente dell’art. 1, comma 649, legge 147/2013, serve ad evitare la detassazione di intere superfici laddove la produzione di rifiuto speciale sia esigua e limitata ad una parte della superfice.</w:t>
      </w:r>
    </w:p>
  </w:footnote>
  <w:footnote w:id="3">
    <w:p w14:paraId="56D3348D" w14:textId="77777777" w:rsidR="00876A1A" w:rsidRPr="00C82D25" w:rsidRDefault="00876A1A" w:rsidP="00C82D25">
      <w:pPr>
        <w:pStyle w:val="Testonotaapidipagina"/>
        <w:jc w:val="both"/>
        <w:rPr>
          <w:rFonts w:ascii="Bookman Old Style" w:hAnsi="Bookman Old Style"/>
          <w:sz w:val="18"/>
          <w:szCs w:val="18"/>
        </w:rPr>
      </w:pPr>
      <w:r w:rsidRPr="00C82D25">
        <w:rPr>
          <w:rStyle w:val="Rimandonotaapidipagina"/>
          <w:rFonts w:ascii="Bookman Old Style" w:hAnsi="Bookman Old Style"/>
          <w:sz w:val="18"/>
          <w:szCs w:val="18"/>
        </w:rPr>
        <w:footnoteRef/>
      </w:r>
      <w:r w:rsidRPr="00C82D25">
        <w:rPr>
          <w:rFonts w:ascii="Bookman Old Style" w:hAnsi="Bookman Old Style"/>
          <w:sz w:val="18"/>
          <w:szCs w:val="18"/>
        </w:rPr>
        <w:t xml:space="preserve"> Il comma 3 definisce come rifiuti speciali:</w:t>
      </w:r>
    </w:p>
    <w:p w14:paraId="7F93F4F0"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 xml:space="preserve">a) i rifiuti prodotti nell'ambito delle attività agricole, agro-industriali e della silvicoltura, ai sensi e per gli effetti dell'articolo 2135 del </w:t>
      </w:r>
      <w:proofErr w:type="gramStart"/>
      <w:r w:rsidRPr="00C82D25">
        <w:rPr>
          <w:rFonts w:ascii="Bookman Old Style" w:hAnsi="Bookman Old Style"/>
          <w:sz w:val="18"/>
          <w:szCs w:val="18"/>
        </w:rPr>
        <w:t>codice civile</w:t>
      </w:r>
      <w:proofErr w:type="gramEnd"/>
      <w:r w:rsidRPr="00C82D25">
        <w:rPr>
          <w:rFonts w:ascii="Bookman Old Style" w:hAnsi="Bookman Old Style"/>
          <w:sz w:val="18"/>
          <w:szCs w:val="18"/>
        </w:rPr>
        <w:t>, e della pesca;</w:t>
      </w:r>
    </w:p>
    <w:p w14:paraId="6A2894B8"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b) i rifiuti prodotti dalle attività di costruzione e demolizione, nonché i rifiuti che derivano dalle attività di scavo, fermo restando quanto disposto dall'articolo 184-bis;</w:t>
      </w:r>
    </w:p>
    <w:p w14:paraId="31DE48A9"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c) i rifiuti prodotti nell'ambito delle lavorazioni industriali se diversi da quelli di cui al comma 2;</w:t>
      </w:r>
    </w:p>
    <w:p w14:paraId="379651DD"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d) i rifiuti prodotti nell'ambito delle lavorazioni artigianali se diversi da quelli di cui al comma 2;</w:t>
      </w:r>
    </w:p>
    <w:p w14:paraId="1CCF564A"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e) i rifiuti prodotti nell'ambito delle attività commerciali se diversi da quelli di cui al comma 2;</w:t>
      </w:r>
    </w:p>
    <w:p w14:paraId="592E27E7"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f) i rifiuti prodotti nell'ambito delle attività di servizio se diversi da quelli di cui al comma 2;</w:t>
      </w:r>
    </w:p>
    <w:p w14:paraId="5ABDACA5"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g) i rifiuti derivanti dall'attività di recupero e smaltimento di rifiuti, i fanghi prodotti dalla potabilizzazione e da altri trattamenti delle acque e dalla depurazione delle acque reflue, nonché i rifiuti da abbattimento di fumi, dalle fosse settiche e dalle reti fognarie;</w:t>
      </w:r>
    </w:p>
    <w:p w14:paraId="39952D14" w14:textId="77777777" w:rsidR="00876A1A" w:rsidRPr="00C82D25" w:rsidRDefault="00876A1A" w:rsidP="00C82D25">
      <w:pPr>
        <w:pStyle w:val="Testonotaapidipagina"/>
        <w:jc w:val="both"/>
        <w:rPr>
          <w:rFonts w:ascii="Bookman Old Style" w:hAnsi="Bookman Old Style"/>
          <w:sz w:val="18"/>
          <w:szCs w:val="18"/>
        </w:rPr>
      </w:pPr>
      <w:r w:rsidRPr="00C82D25">
        <w:rPr>
          <w:rFonts w:ascii="Bookman Old Style" w:hAnsi="Bookman Old Style"/>
          <w:sz w:val="18"/>
          <w:szCs w:val="18"/>
        </w:rPr>
        <w:t>h) i rifiuti derivanti da attività sanitarie se diversi da quelli all'articolo 183, comma 1, lettera b-ter);</w:t>
      </w:r>
    </w:p>
    <w:p w14:paraId="2AEF2AC3" w14:textId="77777777" w:rsidR="00876A1A" w:rsidRPr="00C82D25" w:rsidRDefault="00876A1A" w:rsidP="006D5B03">
      <w:pPr>
        <w:pStyle w:val="Testonotaapidipagina"/>
        <w:spacing w:after="40"/>
        <w:jc w:val="both"/>
        <w:rPr>
          <w:rFonts w:ascii="Bookman Old Style" w:hAnsi="Bookman Old Style"/>
          <w:sz w:val="18"/>
          <w:szCs w:val="18"/>
        </w:rPr>
      </w:pPr>
      <w:r w:rsidRPr="00C82D25">
        <w:rPr>
          <w:rFonts w:ascii="Bookman Old Style" w:hAnsi="Bookman Old Style"/>
          <w:sz w:val="18"/>
          <w:szCs w:val="18"/>
        </w:rPr>
        <w:t>i) i veicoli fuori uso.</w:t>
      </w:r>
    </w:p>
  </w:footnote>
  <w:footnote w:id="4">
    <w:p w14:paraId="34485428" w14:textId="55876985" w:rsidR="00876A1A" w:rsidRPr="00C82D25" w:rsidRDefault="00876A1A" w:rsidP="006D5B03">
      <w:pPr>
        <w:pStyle w:val="Testonotaapidipagina"/>
        <w:spacing w:after="40"/>
        <w:jc w:val="both"/>
        <w:rPr>
          <w:rFonts w:ascii="Bookman Old Style" w:hAnsi="Bookman Old Style"/>
          <w:sz w:val="18"/>
          <w:szCs w:val="18"/>
        </w:rPr>
      </w:pPr>
      <w:r w:rsidRPr="00C82D25">
        <w:rPr>
          <w:rStyle w:val="Rimandonotaapidipagina"/>
          <w:rFonts w:ascii="Bookman Old Style" w:hAnsi="Bookman Old Style"/>
          <w:sz w:val="18"/>
          <w:szCs w:val="18"/>
        </w:rPr>
        <w:footnoteRef/>
      </w:r>
      <w:r w:rsidRPr="00C82D25">
        <w:rPr>
          <w:rFonts w:ascii="Bookman Old Style" w:hAnsi="Bookman Old Style"/>
          <w:sz w:val="18"/>
          <w:szCs w:val="18"/>
        </w:rPr>
        <w:t xml:space="preserve"> </w:t>
      </w:r>
      <w:r w:rsidR="005D1330">
        <w:rPr>
          <w:rFonts w:ascii="Bookman Old Style" w:hAnsi="Bookman Old Style"/>
          <w:sz w:val="18"/>
          <w:szCs w:val="18"/>
        </w:rPr>
        <w:t>D.lgs. 152/2006, art. 238, co. 10</w:t>
      </w:r>
      <w:r w:rsidR="005D1330">
        <w:rPr>
          <w:rFonts w:ascii="Bookman Old Style" w:hAnsi="Bookman Old Style"/>
        </w:rPr>
        <w:t xml:space="preserve">: </w:t>
      </w:r>
      <w:r w:rsidRPr="00C82D25">
        <w:rPr>
          <w:rFonts w:ascii="Bookman Old Style" w:hAnsi="Bookman Old Style"/>
          <w:sz w:val="18"/>
          <w:szCs w:val="18"/>
        </w:rPr>
        <w:t>«</w:t>
      </w:r>
      <w:r w:rsidRPr="00C82D25">
        <w:rPr>
          <w:rFonts w:ascii="Bookman Old Style" w:hAnsi="Bookman Old Style"/>
          <w:i/>
          <w:sz w:val="18"/>
          <w:szCs w:val="18"/>
        </w:rPr>
        <w:t>Le utenze non domestiche che producono rifiuti urbani di cui all'articolo 183, comma 1, lettera b-ter), numero 2, che li conferiscono, in tutto o in parte, al di fuori del servizio pubblico e dimostrano di averli avviati al riciclo o al recupero mediante attestazione rilasciata dal soggetto che effettua l'attività di riciclo o recupero dei rifiuti stessi sono escluse dalla corresponsione della componente tariffaria rapportata alla quantità dei rifiuti conferiti; le medesime utenze effettuano la scelta di servirsi del gestore del servizio pubblico o del ricorso al mercato per un periodo non inferiore a due anni</w:t>
      </w:r>
      <w:r w:rsidRPr="00C82D25">
        <w:rPr>
          <w:rFonts w:ascii="Bookman Old Style" w:hAnsi="Bookman Old Style"/>
          <w:sz w:val="18"/>
          <w:szCs w:val="18"/>
        </w:rPr>
        <w:t>».</w:t>
      </w:r>
    </w:p>
  </w:footnote>
  <w:footnote w:id="5">
    <w:p w14:paraId="55D149C9" w14:textId="77777777" w:rsidR="00876A1A" w:rsidRPr="00C82D25" w:rsidRDefault="00876A1A" w:rsidP="006D5B03">
      <w:pPr>
        <w:pStyle w:val="Testonotaapidipagina"/>
        <w:spacing w:after="40"/>
        <w:jc w:val="both"/>
        <w:rPr>
          <w:rFonts w:ascii="Bookman Old Style" w:hAnsi="Bookman Old Style"/>
          <w:sz w:val="18"/>
          <w:szCs w:val="18"/>
        </w:rPr>
      </w:pPr>
      <w:r w:rsidRPr="00C82D25">
        <w:rPr>
          <w:rStyle w:val="Rimandonotaapidipagina"/>
          <w:rFonts w:ascii="Bookman Old Style" w:hAnsi="Bookman Old Style"/>
          <w:sz w:val="18"/>
          <w:szCs w:val="18"/>
        </w:rPr>
        <w:footnoteRef/>
      </w:r>
      <w:r w:rsidRPr="00C82D25">
        <w:rPr>
          <w:rFonts w:ascii="Bookman Old Style" w:hAnsi="Bookman Old Style"/>
          <w:sz w:val="18"/>
          <w:szCs w:val="18"/>
        </w:rPr>
        <w:t xml:space="preserve"> Sulla lettura di tale disposizione si veda anche la recente deliberazione ARERA 5 agosto 2025, n. 396/2025, con la quale è stato approvato il “</w:t>
      </w:r>
      <w:r w:rsidRPr="00C82D25">
        <w:rPr>
          <w:rFonts w:ascii="Bookman Old Style" w:hAnsi="Bookman Old Style"/>
          <w:i/>
          <w:sz w:val="18"/>
          <w:szCs w:val="18"/>
        </w:rPr>
        <w:t>Testo integrato corrispettivi servizi rifiuti (TICSER)</w:t>
      </w:r>
      <w:r w:rsidRPr="00C82D25">
        <w:rPr>
          <w:rFonts w:ascii="Bookman Old Style" w:hAnsi="Bookman Old Style"/>
          <w:sz w:val="18"/>
          <w:szCs w:val="18"/>
        </w:rPr>
        <w:t>” nel quale è precisato che alle utenze non domestiche che producono rifiuti urbani, qualora li conferiscano, in tutto o in parte, al di fuori del servizio pubblico, ai sensi dell’art. 238, comma 10, del decreto legislativo 152/06, e dimostrino di averli avviati a riciclo o a recupero, è riconosciuta rispettivamente l’esenzione o la riduzione, secondo le previsioni stabilite nei pertinenti Regolamenti per l’applicazione della TARI o della Tariffa corrispettiva, delle componenti tariffarie rapportate alla quantità dei rifiuti conferiti, “Raccolta e Trasporto dei rifiuti urbani”, “Trattamento e Recupero” e “Trattamento e Smaltimento”. Resta impregiudicato il versamento delle componenti tariffarie di “Decoro urbano” e “Accesso al servizio”, che quindi vanno considerate come le nuove “quote fisse”, che restano dovute indipendentemente dalla quantità e qualità dei rifiuti prodotti.</w:t>
      </w:r>
    </w:p>
  </w:footnote>
  <w:footnote w:id="6">
    <w:p w14:paraId="59089A41" w14:textId="77777777" w:rsidR="00876A1A" w:rsidRPr="00C82D25" w:rsidRDefault="00876A1A" w:rsidP="006D5B03">
      <w:pPr>
        <w:pStyle w:val="Testonotaapidipagina"/>
        <w:spacing w:after="40"/>
        <w:jc w:val="both"/>
        <w:rPr>
          <w:rFonts w:ascii="Bookman Old Style" w:hAnsi="Bookman Old Style"/>
          <w:sz w:val="18"/>
          <w:szCs w:val="18"/>
        </w:rPr>
      </w:pPr>
      <w:r w:rsidRPr="00C82D25">
        <w:rPr>
          <w:rStyle w:val="Rimandonotaapidipagina"/>
          <w:rFonts w:ascii="Bookman Old Style" w:hAnsi="Bookman Old Style"/>
          <w:sz w:val="18"/>
          <w:szCs w:val="18"/>
        </w:rPr>
        <w:footnoteRef/>
      </w:r>
      <w:r w:rsidRPr="00C82D25">
        <w:rPr>
          <w:rFonts w:ascii="Bookman Old Style" w:hAnsi="Bookman Old Style"/>
          <w:sz w:val="18"/>
          <w:szCs w:val="18"/>
        </w:rPr>
        <w:t xml:space="preserve"> Sullo stesso solco, Cass. civ., Sez. V, </w:t>
      </w:r>
      <w:proofErr w:type="spellStart"/>
      <w:r w:rsidRPr="00C82D25">
        <w:rPr>
          <w:rFonts w:ascii="Bookman Old Style" w:hAnsi="Bookman Old Style"/>
          <w:sz w:val="18"/>
          <w:szCs w:val="18"/>
        </w:rPr>
        <w:t>Ord</w:t>
      </w:r>
      <w:proofErr w:type="spellEnd"/>
      <w:r w:rsidRPr="00C82D25">
        <w:rPr>
          <w:rFonts w:ascii="Bookman Old Style" w:hAnsi="Bookman Old Style"/>
          <w:sz w:val="18"/>
          <w:szCs w:val="18"/>
        </w:rPr>
        <w:t>., 14 maggio 2025, n. 12902: “</w:t>
      </w:r>
      <w:r w:rsidRPr="008A46A2">
        <w:rPr>
          <w:rFonts w:ascii="Bookman Old Style" w:hAnsi="Bookman Old Style"/>
          <w:i/>
          <w:iCs/>
          <w:sz w:val="18"/>
          <w:szCs w:val="18"/>
        </w:rPr>
        <w:t>Come la Corte ha in più occasioni precisato, difatti, la natura dei rifiuti prodotti – con gli stessi processi di lavorazione produttivi di rifiuti – non possono essere desunti ex se dalla natura dell'attività svolta dalla contribuente</w:t>
      </w:r>
      <w:r w:rsidRPr="00C82D25">
        <w:rPr>
          <w:rFonts w:ascii="Bookman Old Style" w:hAnsi="Bookman Old Style"/>
          <w:sz w:val="18"/>
          <w:szCs w:val="18"/>
        </w:rPr>
        <w:t xml:space="preserve"> (Cass., 28 marzo 2023, n. 8753)”.</w:t>
      </w:r>
    </w:p>
  </w:footnote>
  <w:footnote w:id="7">
    <w:p w14:paraId="77CD8F2B" w14:textId="77777777" w:rsidR="00876A1A" w:rsidRPr="00997624" w:rsidRDefault="00876A1A" w:rsidP="00997624">
      <w:pPr>
        <w:pStyle w:val="Testonotaapidipagina"/>
        <w:jc w:val="both"/>
        <w:rPr>
          <w:rFonts w:ascii="Bookman Old Style" w:hAnsi="Bookman Old Style"/>
          <w:sz w:val="18"/>
          <w:szCs w:val="18"/>
        </w:rPr>
      </w:pPr>
      <w:r>
        <w:rPr>
          <w:rStyle w:val="Rimandonotaapidipagina"/>
        </w:rPr>
        <w:footnoteRef/>
      </w:r>
      <w:r>
        <w:t xml:space="preserve"> </w:t>
      </w:r>
      <w:r w:rsidRPr="00997624">
        <w:rPr>
          <w:rFonts w:ascii="Bookman Old Style" w:hAnsi="Bookman Old Style"/>
          <w:sz w:val="18"/>
          <w:szCs w:val="18"/>
        </w:rPr>
        <w:t>La disposizione citata prevede che “</w:t>
      </w:r>
      <w:r w:rsidRPr="00997624">
        <w:rPr>
          <w:rFonts w:ascii="Bookman Old Style" w:hAnsi="Bookman Old Style"/>
          <w:i/>
          <w:sz w:val="18"/>
          <w:szCs w:val="18"/>
        </w:rPr>
        <w:t>L'adozione di norme interpretative in materia tributaria può essere disposta soltanto in casi eccezionali e con legge ordinaria, qualificando come tali le disposizioni di interpretazione autentica</w:t>
      </w:r>
      <w:r w:rsidRPr="00997624">
        <w:rPr>
          <w:rFonts w:ascii="Bookman Old Style" w:hAnsi="Bookman Old Style"/>
          <w:sz w:val="18"/>
          <w:szCs w:val="18"/>
        </w:rPr>
        <w:t>”.</w:t>
      </w:r>
    </w:p>
  </w:footnote>
  <w:footnote w:id="8">
    <w:p w14:paraId="23FA4DBF" w14:textId="77777777" w:rsidR="00876A1A" w:rsidRPr="00997624" w:rsidRDefault="00876A1A" w:rsidP="00997624">
      <w:pPr>
        <w:pStyle w:val="Testonotaapidipagina"/>
        <w:jc w:val="both"/>
        <w:rPr>
          <w:rFonts w:ascii="Bookman Old Style" w:hAnsi="Bookman Old Style"/>
          <w:sz w:val="18"/>
          <w:szCs w:val="18"/>
        </w:rPr>
      </w:pPr>
      <w:r w:rsidRPr="00997624">
        <w:rPr>
          <w:rStyle w:val="Rimandonotaapidipagina"/>
          <w:rFonts w:ascii="Bookman Old Style" w:hAnsi="Bookman Old Style"/>
          <w:sz w:val="18"/>
          <w:szCs w:val="18"/>
        </w:rPr>
        <w:footnoteRef/>
      </w:r>
      <w:r w:rsidRPr="00997624">
        <w:rPr>
          <w:rFonts w:ascii="Bookman Old Style" w:hAnsi="Bookman Old Style"/>
          <w:sz w:val="18"/>
          <w:szCs w:val="18"/>
        </w:rPr>
        <w:t xml:space="preserve"> Si afferma infatti, che l’indirizzo interpretativo espresso con la circolare del Ministero della transizione ecologica n. 37259 del 12 aprile 2021, “</w:t>
      </w:r>
      <w:r w:rsidRPr="00997624">
        <w:rPr>
          <w:rFonts w:ascii="Bookman Old Style" w:hAnsi="Bookman Old Style"/>
          <w:i/>
          <w:sz w:val="18"/>
          <w:szCs w:val="18"/>
        </w:rPr>
        <w:t>non è tuttavia conforme al filone ermeneutico della Corte di cassazione, che si sta affermando di recente, sulla base del quale alcuni comuni hanno avviato un’attività di recupero della quota fissa TARI non versata dai contribuenti titolari delle aree in argomento. Il Ministero concorda dunque sull’opportunità di introdurre una norma di natura interpretativa, al fine di chiarire l’ambito applicativo di tale esenzione</w:t>
      </w:r>
      <w:r w:rsidRPr="00997624">
        <w:rPr>
          <w:rFonts w:ascii="Bookman Old Style" w:hAnsi="Bookman Old Style"/>
          <w:sz w:val="18"/>
          <w:szCs w:val="18"/>
        </w:rPr>
        <w:t>”.</w:t>
      </w:r>
    </w:p>
  </w:footnote>
  <w:footnote w:id="9">
    <w:p w14:paraId="54856C3B" w14:textId="4BE648F0" w:rsidR="00876A1A" w:rsidRDefault="00876A1A" w:rsidP="00997624">
      <w:pPr>
        <w:pStyle w:val="Testonotaapidipagina"/>
        <w:jc w:val="both"/>
        <w:rPr>
          <w:rFonts w:ascii="Bookman Old Style" w:hAnsi="Bookman Old Style"/>
          <w:sz w:val="18"/>
          <w:szCs w:val="18"/>
        </w:rPr>
      </w:pPr>
      <w:r w:rsidRPr="00997624">
        <w:rPr>
          <w:rStyle w:val="Rimandonotaapidipagina"/>
          <w:rFonts w:ascii="Bookman Old Style" w:hAnsi="Bookman Old Style"/>
          <w:sz w:val="18"/>
          <w:szCs w:val="18"/>
        </w:rPr>
        <w:footnoteRef/>
      </w:r>
      <w:r w:rsidRPr="00997624">
        <w:rPr>
          <w:rFonts w:ascii="Bookman Old Style" w:hAnsi="Bookman Old Style"/>
          <w:sz w:val="18"/>
          <w:szCs w:val="18"/>
        </w:rPr>
        <w:t xml:space="preserve"> La bozza dell’articolato normativo prevedeva</w:t>
      </w:r>
      <w:r w:rsidR="00411D52">
        <w:rPr>
          <w:rFonts w:ascii="Bookman Old Style" w:hAnsi="Bookman Old Style"/>
          <w:sz w:val="18"/>
          <w:szCs w:val="18"/>
        </w:rPr>
        <w:t xml:space="preserve"> il seguente intervento poi espunto dallo schema di decreto legislativo di attuazione dell’articolo 14 della legge di delega fiscale sottoposto all’esame del Parlamento e della Conferenza unificata</w:t>
      </w:r>
      <w:r w:rsidRPr="00997624">
        <w:rPr>
          <w:rFonts w:ascii="Bookman Old Style" w:hAnsi="Bookman Old Style"/>
          <w:sz w:val="18"/>
          <w:szCs w:val="18"/>
        </w:rPr>
        <w:t>: «</w:t>
      </w:r>
      <w:r w:rsidRPr="00997624">
        <w:rPr>
          <w:rFonts w:ascii="Bookman Old Style" w:hAnsi="Bookman Old Style"/>
          <w:i/>
          <w:sz w:val="18"/>
          <w:szCs w:val="18"/>
        </w:rPr>
        <w:t xml:space="preserve">il comma 649, della legge 27 dicembre 2013, n. 147 è sostituito dai seguenti: “Comma 649. Nella determinazione della TARI, relativamente alla quota variabile, non si tiene conto della superficie ove si formano, in via continuativa e prevalente i rifiuti speciali di cui all’articolo 184, comma 3, del decreto legislativo 3 aprile 2006, n. 152, compresi i magazzini di materie prime e di merci, di prodotti semi-lavorati e di prodotti finiti, al cui smaltimento sono tenuti a provvedere, a proprie spese i relativi produttori, a condizione che ne dimostrino l'avvenuto trattamento in conformità alla normativa vigente. Sulle medesime superfici, comprese quelle escluse in misura forfetaria dall’applicazione della TARI, ai sensi dell’articolo 1, comma 682, lettera a), numero 5) della legge n. 147 del 2013, </w:t>
      </w:r>
      <w:r w:rsidRPr="00997624">
        <w:rPr>
          <w:rFonts w:ascii="Bookman Old Style" w:hAnsi="Bookman Old Style"/>
          <w:b/>
          <w:i/>
          <w:sz w:val="18"/>
          <w:szCs w:val="18"/>
          <w:u w:val="single"/>
        </w:rPr>
        <w:t>è dovuta la quota fissa nella misura del 40%</w:t>
      </w:r>
      <w:r w:rsidRPr="00997624">
        <w:rPr>
          <w:rFonts w:ascii="Bookman Old Style" w:hAnsi="Bookman Old Style"/>
          <w:b/>
          <w:sz w:val="18"/>
          <w:szCs w:val="18"/>
          <w:u w:val="single"/>
        </w:rPr>
        <w:t>.</w:t>
      </w:r>
      <w:r w:rsidRPr="00997624">
        <w:rPr>
          <w:rFonts w:ascii="Bookman Old Style" w:hAnsi="Bookman Old Style"/>
          <w:sz w:val="18"/>
          <w:szCs w:val="18"/>
        </w:rPr>
        <w:t>»</w:t>
      </w:r>
    </w:p>
    <w:p w14:paraId="61DF26C0" w14:textId="7EE419DF" w:rsidR="00FD3ABE" w:rsidRPr="00FD3ABE" w:rsidRDefault="00FD3ABE" w:rsidP="00FD3ABE">
      <w:pPr>
        <w:jc w:val="both"/>
        <w:rPr>
          <w:rFonts w:ascii="Bookman Old Style" w:hAnsi="Bookman Old Style"/>
          <w:sz w:val="18"/>
          <w:szCs w:val="18"/>
        </w:rPr>
      </w:pPr>
      <w:r w:rsidRPr="00FD3ABE">
        <w:rPr>
          <w:rFonts w:ascii="Bookman Old Style" w:hAnsi="Bookman Old Style"/>
          <w:sz w:val="18"/>
          <w:szCs w:val="18"/>
        </w:rPr>
        <w:t>Si deve</w:t>
      </w:r>
      <w:r w:rsidRPr="00FD3ABE">
        <w:rPr>
          <w:rFonts w:ascii="Bookman Old Style" w:hAnsi="Bookman Old Style"/>
          <w:sz w:val="18"/>
          <w:szCs w:val="18"/>
        </w:rPr>
        <w:t xml:space="preserve">, altresì, </w:t>
      </w:r>
      <w:r w:rsidRPr="00FD3ABE">
        <w:rPr>
          <w:rFonts w:ascii="Bookman Old Style" w:hAnsi="Bookman Old Style"/>
          <w:sz w:val="18"/>
          <w:szCs w:val="18"/>
        </w:rPr>
        <w:t xml:space="preserve">ricordare </w:t>
      </w:r>
      <w:r w:rsidRPr="00FD3ABE">
        <w:rPr>
          <w:rFonts w:ascii="Bookman Old Style" w:hAnsi="Bookman Old Style"/>
          <w:sz w:val="18"/>
          <w:szCs w:val="18"/>
        </w:rPr>
        <w:t xml:space="preserve">che </w:t>
      </w:r>
      <w:r w:rsidRPr="00FD3ABE">
        <w:rPr>
          <w:rFonts w:ascii="Bookman Old Style" w:hAnsi="Bookman Old Style"/>
          <w:sz w:val="18"/>
          <w:szCs w:val="18"/>
        </w:rPr>
        <w:t>l’</w:t>
      </w:r>
      <w:r w:rsidRPr="00FD3ABE">
        <w:rPr>
          <w:rFonts w:ascii="Bookman Old Style" w:hAnsi="Bookman Old Style"/>
          <w:sz w:val="18"/>
          <w:szCs w:val="18"/>
        </w:rPr>
        <w:t xml:space="preserve">articolazione del prelievo necessario alla copertura del costo di gestione dei rifiuti </w:t>
      </w:r>
      <w:r w:rsidRPr="00FD3ABE">
        <w:rPr>
          <w:rFonts w:ascii="Bookman Old Style" w:hAnsi="Bookman Old Style"/>
          <w:sz w:val="18"/>
          <w:szCs w:val="18"/>
        </w:rPr>
        <w:t xml:space="preserve">si modificherà per effetto </w:t>
      </w:r>
      <w:r w:rsidRPr="00FD3ABE">
        <w:rPr>
          <w:rFonts w:ascii="Bookman Old Style" w:hAnsi="Bookman Old Style"/>
          <w:sz w:val="18"/>
          <w:szCs w:val="18"/>
        </w:rPr>
        <w:t>della deliberazione ARERA 5 agosto 2025, n. 396, con la quale è stato approvato il “</w:t>
      </w:r>
      <w:r w:rsidRPr="00FD3ABE">
        <w:rPr>
          <w:rFonts w:ascii="Bookman Old Style" w:hAnsi="Bookman Old Style"/>
          <w:b/>
          <w:sz w:val="18"/>
          <w:szCs w:val="18"/>
        </w:rPr>
        <w:t>Testo integrato corrispettivi servizi rifiuti (TICSER)</w:t>
      </w:r>
      <w:r w:rsidRPr="00FD3ABE">
        <w:rPr>
          <w:rFonts w:ascii="Bookman Old Style" w:hAnsi="Bookman Old Style"/>
          <w:sz w:val="18"/>
          <w:szCs w:val="18"/>
        </w:rPr>
        <w:t>”, che dovrà applicarsi dal 2028. La nuova articolazione tariffaria approvata da ARERA prevede l’addebito delle componenti fisse denominate “Decoro urbano” e “Accesso al servizio”</w:t>
      </w:r>
      <w:r>
        <w:rPr>
          <w:rFonts w:ascii="Bookman Old Style" w:hAnsi="Bookman Old Style"/>
          <w:sz w:val="18"/>
          <w:szCs w:val="18"/>
        </w:rPr>
        <w:t>. L’incidenza delle due nuove componenti dovrebbe risultare complessivamente paragonabile all’attuale “quota fissa”</w:t>
      </w:r>
      <w:r w:rsidRPr="00FD3ABE">
        <w:rPr>
          <w:rFonts w:ascii="Bookman Old Style" w:hAnsi="Bookman Old Style"/>
          <w:sz w:val="18"/>
          <w:szCs w:val="18"/>
        </w:rPr>
        <w:t>.</w:t>
      </w:r>
    </w:p>
    <w:p w14:paraId="1080D3CB" w14:textId="48DE6F76" w:rsidR="00FD3ABE" w:rsidRPr="00997624" w:rsidRDefault="00FD3ABE" w:rsidP="00997624">
      <w:pPr>
        <w:pStyle w:val="Testonotaapidipagina"/>
        <w:jc w:val="both"/>
        <w:rPr>
          <w:rFonts w:ascii="Bookman Old Style" w:hAnsi="Bookman Old Style"/>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270F3"/>
    <w:multiLevelType w:val="hybridMultilevel"/>
    <w:tmpl w:val="CD2460C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6ED1D3C"/>
    <w:multiLevelType w:val="hybridMultilevel"/>
    <w:tmpl w:val="5740B6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E046C52"/>
    <w:multiLevelType w:val="multilevel"/>
    <w:tmpl w:val="9F98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1722766">
    <w:abstractNumId w:val="2"/>
  </w:num>
  <w:num w:numId="2" w16cid:durableId="1701395333">
    <w:abstractNumId w:val="0"/>
  </w:num>
  <w:num w:numId="3" w16cid:durableId="1731423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D8C"/>
    <w:rsid w:val="0000144D"/>
    <w:rsid w:val="00004DD6"/>
    <w:rsid w:val="00010FAE"/>
    <w:rsid w:val="00014F5A"/>
    <w:rsid w:val="0001661E"/>
    <w:rsid w:val="000216AA"/>
    <w:rsid w:val="000358A6"/>
    <w:rsid w:val="000451D7"/>
    <w:rsid w:val="00055917"/>
    <w:rsid w:val="000560DA"/>
    <w:rsid w:val="00060F79"/>
    <w:rsid w:val="000873F2"/>
    <w:rsid w:val="000910B8"/>
    <w:rsid w:val="0009508F"/>
    <w:rsid w:val="000A78DA"/>
    <w:rsid w:val="000A7E7C"/>
    <w:rsid w:val="000C0E80"/>
    <w:rsid w:val="000C7375"/>
    <w:rsid w:val="000D2090"/>
    <w:rsid w:val="000E5EE5"/>
    <w:rsid w:val="00107D37"/>
    <w:rsid w:val="00115B4D"/>
    <w:rsid w:val="001277A2"/>
    <w:rsid w:val="00133DA1"/>
    <w:rsid w:val="001367FF"/>
    <w:rsid w:val="00151150"/>
    <w:rsid w:val="001751E8"/>
    <w:rsid w:val="001778AD"/>
    <w:rsid w:val="001812C8"/>
    <w:rsid w:val="001903E8"/>
    <w:rsid w:val="001A41C7"/>
    <w:rsid w:val="001B5E96"/>
    <w:rsid w:val="001C603E"/>
    <w:rsid w:val="001D4EF6"/>
    <w:rsid w:val="001D7701"/>
    <w:rsid w:val="001F4CEA"/>
    <w:rsid w:val="00203120"/>
    <w:rsid w:val="00203835"/>
    <w:rsid w:val="00204DDA"/>
    <w:rsid w:val="00204FFC"/>
    <w:rsid w:val="00211244"/>
    <w:rsid w:val="00225915"/>
    <w:rsid w:val="00225AF1"/>
    <w:rsid w:val="00251685"/>
    <w:rsid w:val="00253475"/>
    <w:rsid w:val="00287031"/>
    <w:rsid w:val="002943E2"/>
    <w:rsid w:val="002B4351"/>
    <w:rsid w:val="002C4AE4"/>
    <w:rsid w:val="002D1C03"/>
    <w:rsid w:val="002D6BE4"/>
    <w:rsid w:val="002E59F1"/>
    <w:rsid w:val="002E6547"/>
    <w:rsid w:val="002F052C"/>
    <w:rsid w:val="002F6796"/>
    <w:rsid w:val="003015C8"/>
    <w:rsid w:val="003072CA"/>
    <w:rsid w:val="00311B17"/>
    <w:rsid w:val="0031452B"/>
    <w:rsid w:val="003210AC"/>
    <w:rsid w:val="00323B57"/>
    <w:rsid w:val="00342B19"/>
    <w:rsid w:val="00345421"/>
    <w:rsid w:val="00350C82"/>
    <w:rsid w:val="00355243"/>
    <w:rsid w:val="00356E3A"/>
    <w:rsid w:val="003634AF"/>
    <w:rsid w:val="00367B2B"/>
    <w:rsid w:val="00372B1F"/>
    <w:rsid w:val="0037451E"/>
    <w:rsid w:val="00384B02"/>
    <w:rsid w:val="00391B38"/>
    <w:rsid w:val="0039207C"/>
    <w:rsid w:val="003C39F8"/>
    <w:rsid w:val="003D43CA"/>
    <w:rsid w:val="003D7860"/>
    <w:rsid w:val="003F3EB0"/>
    <w:rsid w:val="00400279"/>
    <w:rsid w:val="0041034D"/>
    <w:rsid w:val="00411D52"/>
    <w:rsid w:val="004337BC"/>
    <w:rsid w:val="00434D00"/>
    <w:rsid w:val="00437079"/>
    <w:rsid w:val="004418E0"/>
    <w:rsid w:val="0044769C"/>
    <w:rsid w:val="00453C49"/>
    <w:rsid w:val="00456BAC"/>
    <w:rsid w:val="00475793"/>
    <w:rsid w:val="00477849"/>
    <w:rsid w:val="00496C42"/>
    <w:rsid w:val="004C2004"/>
    <w:rsid w:val="004D1980"/>
    <w:rsid w:val="004D21FB"/>
    <w:rsid w:val="004E3ABE"/>
    <w:rsid w:val="004F7B84"/>
    <w:rsid w:val="00504B9F"/>
    <w:rsid w:val="0051552C"/>
    <w:rsid w:val="00516CA8"/>
    <w:rsid w:val="00522CD4"/>
    <w:rsid w:val="00524999"/>
    <w:rsid w:val="00544F68"/>
    <w:rsid w:val="00565D78"/>
    <w:rsid w:val="005722C8"/>
    <w:rsid w:val="0059185C"/>
    <w:rsid w:val="005B16FD"/>
    <w:rsid w:val="005B2DB6"/>
    <w:rsid w:val="005B4ADD"/>
    <w:rsid w:val="005C3F22"/>
    <w:rsid w:val="005D1330"/>
    <w:rsid w:val="005F107B"/>
    <w:rsid w:val="00604C0C"/>
    <w:rsid w:val="006111F3"/>
    <w:rsid w:val="00623352"/>
    <w:rsid w:val="00641A9B"/>
    <w:rsid w:val="0064343D"/>
    <w:rsid w:val="00660E2F"/>
    <w:rsid w:val="006737F1"/>
    <w:rsid w:val="0069580F"/>
    <w:rsid w:val="006A1316"/>
    <w:rsid w:val="006A594F"/>
    <w:rsid w:val="006C15B7"/>
    <w:rsid w:val="006C3794"/>
    <w:rsid w:val="006D0D6F"/>
    <w:rsid w:val="006D5B03"/>
    <w:rsid w:val="006D6041"/>
    <w:rsid w:val="007345C7"/>
    <w:rsid w:val="007412C3"/>
    <w:rsid w:val="00755FA1"/>
    <w:rsid w:val="00770ED5"/>
    <w:rsid w:val="00772FA7"/>
    <w:rsid w:val="007803FC"/>
    <w:rsid w:val="00786AE3"/>
    <w:rsid w:val="007B508A"/>
    <w:rsid w:val="008035B9"/>
    <w:rsid w:val="00811125"/>
    <w:rsid w:val="00821672"/>
    <w:rsid w:val="00823490"/>
    <w:rsid w:val="00826E9D"/>
    <w:rsid w:val="008277A6"/>
    <w:rsid w:val="00842125"/>
    <w:rsid w:val="00853749"/>
    <w:rsid w:val="00876A1A"/>
    <w:rsid w:val="00891BB7"/>
    <w:rsid w:val="008A46A2"/>
    <w:rsid w:val="008C3128"/>
    <w:rsid w:val="008D0B1F"/>
    <w:rsid w:val="008D779F"/>
    <w:rsid w:val="008E768B"/>
    <w:rsid w:val="00907FD9"/>
    <w:rsid w:val="009152D6"/>
    <w:rsid w:val="00915CA6"/>
    <w:rsid w:val="009166C2"/>
    <w:rsid w:val="00932112"/>
    <w:rsid w:val="009340C2"/>
    <w:rsid w:val="00947FA1"/>
    <w:rsid w:val="009532DE"/>
    <w:rsid w:val="00954A15"/>
    <w:rsid w:val="00957A35"/>
    <w:rsid w:val="009769E5"/>
    <w:rsid w:val="009816DE"/>
    <w:rsid w:val="00987A4A"/>
    <w:rsid w:val="00997624"/>
    <w:rsid w:val="009B5ED3"/>
    <w:rsid w:val="009C3304"/>
    <w:rsid w:val="009D10B6"/>
    <w:rsid w:val="009D5D62"/>
    <w:rsid w:val="009D60D1"/>
    <w:rsid w:val="009D7822"/>
    <w:rsid w:val="009E3634"/>
    <w:rsid w:val="009F5A3F"/>
    <w:rsid w:val="00A0675D"/>
    <w:rsid w:val="00A24F79"/>
    <w:rsid w:val="00A31924"/>
    <w:rsid w:val="00A40659"/>
    <w:rsid w:val="00A41FEB"/>
    <w:rsid w:val="00A54E5C"/>
    <w:rsid w:val="00A60349"/>
    <w:rsid w:val="00A87609"/>
    <w:rsid w:val="00A91D06"/>
    <w:rsid w:val="00A93290"/>
    <w:rsid w:val="00AA16AA"/>
    <w:rsid w:val="00AB0248"/>
    <w:rsid w:val="00AC5024"/>
    <w:rsid w:val="00AE3934"/>
    <w:rsid w:val="00B15526"/>
    <w:rsid w:val="00B27AAD"/>
    <w:rsid w:val="00B32E93"/>
    <w:rsid w:val="00B40095"/>
    <w:rsid w:val="00B42A41"/>
    <w:rsid w:val="00B463A3"/>
    <w:rsid w:val="00B53908"/>
    <w:rsid w:val="00B6245D"/>
    <w:rsid w:val="00B67889"/>
    <w:rsid w:val="00B748A8"/>
    <w:rsid w:val="00B770DC"/>
    <w:rsid w:val="00B812A0"/>
    <w:rsid w:val="00BA4122"/>
    <w:rsid w:val="00BD6127"/>
    <w:rsid w:val="00C0024B"/>
    <w:rsid w:val="00C041DD"/>
    <w:rsid w:val="00C06110"/>
    <w:rsid w:val="00C21E2F"/>
    <w:rsid w:val="00C412D8"/>
    <w:rsid w:val="00C459CA"/>
    <w:rsid w:val="00C64CDA"/>
    <w:rsid w:val="00C82D25"/>
    <w:rsid w:val="00C921BD"/>
    <w:rsid w:val="00CA7BE9"/>
    <w:rsid w:val="00CB2E56"/>
    <w:rsid w:val="00CB6B2C"/>
    <w:rsid w:val="00CC07D5"/>
    <w:rsid w:val="00CC0DF7"/>
    <w:rsid w:val="00CC1FDB"/>
    <w:rsid w:val="00CC402B"/>
    <w:rsid w:val="00CC6996"/>
    <w:rsid w:val="00CC7399"/>
    <w:rsid w:val="00CD61DA"/>
    <w:rsid w:val="00D05EE9"/>
    <w:rsid w:val="00D07D2A"/>
    <w:rsid w:val="00D11CC0"/>
    <w:rsid w:val="00D134CE"/>
    <w:rsid w:val="00D17275"/>
    <w:rsid w:val="00D17A5E"/>
    <w:rsid w:val="00D5078B"/>
    <w:rsid w:val="00D5592F"/>
    <w:rsid w:val="00D601AC"/>
    <w:rsid w:val="00D61FFA"/>
    <w:rsid w:val="00D6672B"/>
    <w:rsid w:val="00D82863"/>
    <w:rsid w:val="00D92FFA"/>
    <w:rsid w:val="00DA15A9"/>
    <w:rsid w:val="00DA3AA0"/>
    <w:rsid w:val="00DC014F"/>
    <w:rsid w:val="00DD2AD0"/>
    <w:rsid w:val="00DD4A9A"/>
    <w:rsid w:val="00DE6F49"/>
    <w:rsid w:val="00DF517B"/>
    <w:rsid w:val="00DF58F5"/>
    <w:rsid w:val="00E04E0B"/>
    <w:rsid w:val="00E124AE"/>
    <w:rsid w:val="00E21E6A"/>
    <w:rsid w:val="00E30E9D"/>
    <w:rsid w:val="00E46BA0"/>
    <w:rsid w:val="00E506FD"/>
    <w:rsid w:val="00E57760"/>
    <w:rsid w:val="00E72DFC"/>
    <w:rsid w:val="00E9177E"/>
    <w:rsid w:val="00E97082"/>
    <w:rsid w:val="00EA03D3"/>
    <w:rsid w:val="00EA2D31"/>
    <w:rsid w:val="00EA5FEB"/>
    <w:rsid w:val="00EB2B65"/>
    <w:rsid w:val="00EC0733"/>
    <w:rsid w:val="00EC0AB9"/>
    <w:rsid w:val="00EC154C"/>
    <w:rsid w:val="00EC2737"/>
    <w:rsid w:val="00ED0F1A"/>
    <w:rsid w:val="00EE7180"/>
    <w:rsid w:val="00F00EF9"/>
    <w:rsid w:val="00F04EFD"/>
    <w:rsid w:val="00F05406"/>
    <w:rsid w:val="00F0662A"/>
    <w:rsid w:val="00F11D41"/>
    <w:rsid w:val="00F252F6"/>
    <w:rsid w:val="00F30C92"/>
    <w:rsid w:val="00F46931"/>
    <w:rsid w:val="00F46C94"/>
    <w:rsid w:val="00F53405"/>
    <w:rsid w:val="00F57F61"/>
    <w:rsid w:val="00F72196"/>
    <w:rsid w:val="00F808C4"/>
    <w:rsid w:val="00F840CB"/>
    <w:rsid w:val="00F93B61"/>
    <w:rsid w:val="00FB3D8C"/>
    <w:rsid w:val="00FC014A"/>
    <w:rsid w:val="00FD12B4"/>
    <w:rsid w:val="00FD2B25"/>
    <w:rsid w:val="00FD3ABE"/>
    <w:rsid w:val="00FD7B73"/>
    <w:rsid w:val="00FE094C"/>
    <w:rsid w:val="00FF6B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09DA3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B3D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FB3D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FB3D8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FB3D8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B3D8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FB3D8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B3D8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B3D8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B3D8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B3D8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FB3D8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FB3D8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FB3D8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B3D8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B3D8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B3D8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B3D8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B3D8C"/>
    <w:rPr>
      <w:rFonts w:eastAsiaTheme="majorEastAsia" w:cstheme="majorBidi"/>
      <w:color w:val="272727" w:themeColor="text1" w:themeTint="D8"/>
    </w:rPr>
  </w:style>
  <w:style w:type="paragraph" w:styleId="Titolo">
    <w:name w:val="Title"/>
    <w:basedOn w:val="Normale"/>
    <w:next w:val="Normale"/>
    <w:link w:val="TitoloCarattere"/>
    <w:uiPriority w:val="10"/>
    <w:qFormat/>
    <w:rsid w:val="00FB3D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B3D8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B3D8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B3D8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B3D8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B3D8C"/>
    <w:rPr>
      <w:i/>
      <w:iCs/>
      <w:color w:val="404040" w:themeColor="text1" w:themeTint="BF"/>
    </w:rPr>
  </w:style>
  <w:style w:type="paragraph" w:styleId="Paragrafoelenco">
    <w:name w:val="List Paragraph"/>
    <w:basedOn w:val="Normale"/>
    <w:uiPriority w:val="34"/>
    <w:qFormat/>
    <w:rsid w:val="00FB3D8C"/>
    <w:pPr>
      <w:ind w:left="720"/>
      <w:contextualSpacing/>
    </w:pPr>
  </w:style>
  <w:style w:type="character" w:styleId="Enfasiintensa">
    <w:name w:val="Intense Emphasis"/>
    <w:basedOn w:val="Carpredefinitoparagrafo"/>
    <w:uiPriority w:val="21"/>
    <w:qFormat/>
    <w:rsid w:val="00FB3D8C"/>
    <w:rPr>
      <w:i/>
      <w:iCs/>
      <w:color w:val="2F5496" w:themeColor="accent1" w:themeShade="BF"/>
    </w:rPr>
  </w:style>
  <w:style w:type="paragraph" w:styleId="Citazioneintensa">
    <w:name w:val="Intense Quote"/>
    <w:basedOn w:val="Normale"/>
    <w:next w:val="Normale"/>
    <w:link w:val="CitazioneintensaCarattere"/>
    <w:uiPriority w:val="30"/>
    <w:qFormat/>
    <w:rsid w:val="00FB3D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B3D8C"/>
    <w:rPr>
      <w:i/>
      <w:iCs/>
      <w:color w:val="2F5496" w:themeColor="accent1" w:themeShade="BF"/>
    </w:rPr>
  </w:style>
  <w:style w:type="character" w:styleId="Riferimentointenso">
    <w:name w:val="Intense Reference"/>
    <w:basedOn w:val="Carpredefinitoparagrafo"/>
    <w:uiPriority w:val="32"/>
    <w:qFormat/>
    <w:rsid w:val="00FB3D8C"/>
    <w:rPr>
      <w:b/>
      <w:bCs/>
      <w:smallCaps/>
      <w:color w:val="2F5496" w:themeColor="accent1" w:themeShade="BF"/>
      <w:spacing w:val="5"/>
    </w:rPr>
  </w:style>
  <w:style w:type="character" w:styleId="Collegamentoipertestuale">
    <w:name w:val="Hyperlink"/>
    <w:basedOn w:val="Carpredefinitoparagrafo"/>
    <w:uiPriority w:val="99"/>
    <w:unhideWhenUsed/>
    <w:rsid w:val="00FB3D8C"/>
    <w:rPr>
      <w:color w:val="0563C1" w:themeColor="hyperlink"/>
      <w:u w:val="single"/>
    </w:rPr>
  </w:style>
  <w:style w:type="character" w:styleId="Menzionenonrisolta">
    <w:name w:val="Unresolved Mention"/>
    <w:basedOn w:val="Carpredefinitoparagrafo"/>
    <w:uiPriority w:val="99"/>
    <w:semiHidden/>
    <w:unhideWhenUsed/>
    <w:rsid w:val="00FB3D8C"/>
    <w:rPr>
      <w:color w:val="605E5C"/>
      <w:shd w:val="clear" w:color="auto" w:fill="E1DFDD"/>
    </w:rPr>
  </w:style>
  <w:style w:type="paragraph" w:styleId="Testonotaapidipagina">
    <w:name w:val="footnote text"/>
    <w:basedOn w:val="Normale"/>
    <w:link w:val="TestonotaapidipaginaCarattere"/>
    <w:uiPriority w:val="99"/>
    <w:semiHidden/>
    <w:unhideWhenUsed/>
    <w:rsid w:val="00876A1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876A1A"/>
    <w:rPr>
      <w:sz w:val="20"/>
      <w:szCs w:val="20"/>
    </w:rPr>
  </w:style>
  <w:style w:type="character" w:styleId="Rimandonotaapidipagina">
    <w:name w:val="footnote reference"/>
    <w:basedOn w:val="Carpredefinitoparagrafo"/>
    <w:uiPriority w:val="99"/>
    <w:semiHidden/>
    <w:unhideWhenUsed/>
    <w:rsid w:val="00876A1A"/>
    <w:rPr>
      <w:vertAlign w:val="superscript"/>
    </w:rPr>
  </w:style>
  <w:style w:type="paragraph" w:styleId="Intestazione">
    <w:name w:val="header"/>
    <w:basedOn w:val="Normale"/>
    <w:link w:val="IntestazioneCarattere"/>
    <w:uiPriority w:val="99"/>
    <w:unhideWhenUsed/>
    <w:rsid w:val="00D05E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05EE9"/>
  </w:style>
  <w:style w:type="paragraph" w:styleId="Pidipagina">
    <w:name w:val="footer"/>
    <w:basedOn w:val="Normale"/>
    <w:link w:val="PidipaginaCarattere"/>
    <w:uiPriority w:val="99"/>
    <w:unhideWhenUsed/>
    <w:rsid w:val="00D05E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05EE9"/>
  </w:style>
  <w:style w:type="paragraph" w:styleId="Titolosommario">
    <w:name w:val="TOC Heading"/>
    <w:basedOn w:val="Titolo1"/>
    <w:next w:val="Normale"/>
    <w:uiPriority w:val="39"/>
    <w:unhideWhenUsed/>
    <w:qFormat/>
    <w:rsid w:val="00D6672B"/>
    <w:pPr>
      <w:spacing w:before="240" w:after="0"/>
      <w:outlineLvl w:val="9"/>
    </w:pPr>
    <w:rPr>
      <w:kern w:val="0"/>
      <w:sz w:val="32"/>
      <w:szCs w:val="32"/>
      <w:lang w:eastAsia="it-IT"/>
      <w14:ligatures w14:val="none"/>
    </w:rPr>
  </w:style>
  <w:style w:type="paragraph" w:styleId="Sommario2">
    <w:name w:val="toc 2"/>
    <w:basedOn w:val="Normale"/>
    <w:next w:val="Normale"/>
    <w:autoRedefine/>
    <w:uiPriority w:val="39"/>
    <w:unhideWhenUsed/>
    <w:rsid w:val="00D6672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2BB05-26D5-4667-B890-3D1F1C3F9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5020</Words>
  <Characters>28618</Characters>
  <Application>Microsoft Office Word</Application>
  <DocSecurity>0</DocSecurity>
  <Lines>238</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2025-09-29T09:29:00Z</dcterms:created>
  <dcterms:modified xsi:type="dcterms:W3CDTF">2025-09-29T09:57:00Z</dcterms:modified>
</cp:coreProperties>
</file>