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113E" w14:textId="491FE177" w:rsidR="00130962" w:rsidRDefault="00122E6C" w:rsidP="00122E6C">
      <w:pPr>
        <w:jc w:val="center"/>
      </w:pPr>
      <w:r w:rsidRPr="00122E6C">
        <w:rPr>
          <w:noProof/>
        </w:rPr>
        <w:drawing>
          <wp:inline distT="0" distB="0" distL="0" distR="0" wp14:anchorId="08117585" wp14:editId="38FC86BD">
            <wp:extent cx="783942"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749" cy="1148550"/>
                    </a:xfrm>
                    <a:prstGeom prst="rect">
                      <a:avLst/>
                    </a:prstGeom>
                    <a:noFill/>
                    <a:ln>
                      <a:noFill/>
                    </a:ln>
                  </pic:spPr>
                </pic:pic>
              </a:graphicData>
            </a:graphic>
          </wp:inline>
        </w:drawing>
      </w:r>
    </w:p>
    <w:p w14:paraId="67197343" w14:textId="5325093B" w:rsidR="00122E6C" w:rsidRDefault="00122E6C" w:rsidP="00122E6C">
      <w:pPr>
        <w:jc w:val="center"/>
      </w:pPr>
    </w:p>
    <w:p w14:paraId="4EE0009D" w14:textId="63C8F6F3" w:rsidR="00122E6C" w:rsidRDefault="00122E6C" w:rsidP="00122E6C">
      <w:pPr>
        <w:jc w:val="center"/>
      </w:pPr>
    </w:p>
    <w:p w14:paraId="2FB6B7C6" w14:textId="77777777" w:rsidR="00122E6C" w:rsidRDefault="00122E6C" w:rsidP="00122E6C">
      <w:pPr>
        <w:jc w:val="center"/>
      </w:pPr>
    </w:p>
    <w:p w14:paraId="039714D0" w14:textId="77777777" w:rsidR="00122E6C" w:rsidRDefault="00122E6C" w:rsidP="00122E6C">
      <w:pPr>
        <w:pStyle w:val="Default"/>
      </w:pPr>
    </w:p>
    <w:p w14:paraId="56062669" w14:textId="17D8783D" w:rsidR="00122E6C" w:rsidRPr="00122E6C" w:rsidRDefault="00122E6C" w:rsidP="00122E6C">
      <w:pPr>
        <w:pStyle w:val="Default"/>
        <w:jc w:val="center"/>
        <w:rPr>
          <w:b/>
          <w:bCs/>
          <w:sz w:val="28"/>
          <w:szCs w:val="28"/>
        </w:rPr>
      </w:pPr>
      <w:r w:rsidRPr="00122E6C">
        <w:rPr>
          <w:b/>
          <w:bCs/>
          <w:sz w:val="28"/>
          <w:szCs w:val="28"/>
        </w:rPr>
        <w:t>CAMERA DEI DEPUTATI</w:t>
      </w:r>
    </w:p>
    <w:p w14:paraId="2AADACBF" w14:textId="77777777" w:rsidR="00122E6C" w:rsidRPr="00122E6C" w:rsidRDefault="00122E6C" w:rsidP="00122E6C">
      <w:pPr>
        <w:pStyle w:val="Default"/>
        <w:jc w:val="center"/>
        <w:rPr>
          <w:b/>
          <w:bCs/>
          <w:sz w:val="28"/>
          <w:szCs w:val="28"/>
        </w:rPr>
      </w:pPr>
    </w:p>
    <w:p w14:paraId="0B61A6BD" w14:textId="77777777" w:rsidR="00122E6C" w:rsidRPr="00122E6C" w:rsidRDefault="00122E6C" w:rsidP="00122E6C">
      <w:pPr>
        <w:pStyle w:val="Default"/>
        <w:jc w:val="center"/>
        <w:rPr>
          <w:sz w:val="28"/>
          <w:szCs w:val="28"/>
        </w:rPr>
      </w:pPr>
    </w:p>
    <w:p w14:paraId="44FC627C" w14:textId="02678EB3" w:rsidR="00122E6C" w:rsidRDefault="00122E6C" w:rsidP="00122E6C">
      <w:pPr>
        <w:pStyle w:val="Default"/>
        <w:jc w:val="center"/>
        <w:rPr>
          <w:b/>
          <w:bCs/>
          <w:sz w:val="28"/>
          <w:szCs w:val="28"/>
        </w:rPr>
      </w:pPr>
      <w:r w:rsidRPr="00122E6C">
        <w:rPr>
          <w:b/>
          <w:bCs/>
          <w:sz w:val="28"/>
          <w:szCs w:val="28"/>
        </w:rPr>
        <w:t>COMMISSION</w:t>
      </w:r>
      <w:r w:rsidR="006910DC">
        <w:rPr>
          <w:b/>
          <w:bCs/>
          <w:sz w:val="28"/>
          <w:szCs w:val="28"/>
        </w:rPr>
        <w:t>E</w:t>
      </w:r>
      <w:r w:rsidRPr="00122E6C">
        <w:rPr>
          <w:b/>
          <w:bCs/>
          <w:sz w:val="28"/>
          <w:szCs w:val="28"/>
        </w:rPr>
        <w:t xml:space="preserve"> BILANCIO</w:t>
      </w:r>
    </w:p>
    <w:p w14:paraId="29C986D5" w14:textId="77777777" w:rsidR="00122E6C" w:rsidRPr="00122E6C" w:rsidRDefault="00122E6C" w:rsidP="00122E6C">
      <w:pPr>
        <w:pStyle w:val="Default"/>
        <w:jc w:val="center"/>
        <w:rPr>
          <w:b/>
          <w:bCs/>
          <w:sz w:val="28"/>
          <w:szCs w:val="28"/>
        </w:rPr>
      </w:pPr>
    </w:p>
    <w:p w14:paraId="48DD5E20" w14:textId="77777777" w:rsidR="00122E6C" w:rsidRPr="00122E6C" w:rsidRDefault="00122E6C" w:rsidP="00122E6C">
      <w:pPr>
        <w:pStyle w:val="Default"/>
        <w:jc w:val="center"/>
        <w:rPr>
          <w:sz w:val="28"/>
          <w:szCs w:val="28"/>
        </w:rPr>
      </w:pPr>
    </w:p>
    <w:p w14:paraId="63696682" w14:textId="5434278A" w:rsidR="00122E6C" w:rsidRDefault="00122E6C" w:rsidP="00122E6C">
      <w:pPr>
        <w:pStyle w:val="Default"/>
        <w:jc w:val="center"/>
        <w:rPr>
          <w:b/>
          <w:bCs/>
          <w:sz w:val="28"/>
          <w:szCs w:val="28"/>
        </w:rPr>
      </w:pPr>
      <w:r w:rsidRPr="00122E6C">
        <w:rPr>
          <w:b/>
          <w:bCs/>
          <w:sz w:val="28"/>
          <w:szCs w:val="28"/>
        </w:rPr>
        <w:t>AUDIZIONE SUL DECRETO-LEGGE 6 novembre 2021, n. 152 recante “</w:t>
      </w:r>
      <w:r w:rsidRPr="00122E6C">
        <w:rPr>
          <w:b/>
          <w:bCs/>
          <w:i/>
          <w:iCs/>
          <w:sz w:val="28"/>
          <w:szCs w:val="28"/>
        </w:rPr>
        <w:t>Disposizioni urgenti per l’attuazione del Piano nazionale di ripresa e resilienza (PNRR) e per la prevenzione delle infiltrazioni mafiose</w:t>
      </w:r>
      <w:r w:rsidRPr="00122E6C">
        <w:rPr>
          <w:b/>
          <w:bCs/>
          <w:sz w:val="28"/>
          <w:szCs w:val="28"/>
        </w:rPr>
        <w:t>”</w:t>
      </w:r>
    </w:p>
    <w:p w14:paraId="6FDDC3FA" w14:textId="29B44EC6" w:rsidR="006910DC" w:rsidRDefault="006910DC" w:rsidP="00122E6C">
      <w:pPr>
        <w:pStyle w:val="Default"/>
        <w:jc w:val="center"/>
        <w:rPr>
          <w:b/>
          <w:bCs/>
          <w:sz w:val="28"/>
          <w:szCs w:val="28"/>
        </w:rPr>
      </w:pPr>
    </w:p>
    <w:p w14:paraId="053ECCA3" w14:textId="630B8D19" w:rsidR="006910DC" w:rsidRPr="00122E6C" w:rsidRDefault="006910DC" w:rsidP="00122E6C">
      <w:pPr>
        <w:pStyle w:val="Default"/>
        <w:jc w:val="center"/>
        <w:rPr>
          <w:b/>
          <w:bCs/>
          <w:sz w:val="28"/>
          <w:szCs w:val="28"/>
        </w:rPr>
      </w:pPr>
      <w:r>
        <w:rPr>
          <w:b/>
          <w:bCs/>
          <w:sz w:val="28"/>
          <w:szCs w:val="28"/>
        </w:rPr>
        <w:t>AC 3354</w:t>
      </w:r>
    </w:p>
    <w:p w14:paraId="0659DB5A" w14:textId="4040B6A1" w:rsidR="00122E6C" w:rsidRPr="00122E6C" w:rsidRDefault="00122E6C" w:rsidP="00122E6C">
      <w:pPr>
        <w:pStyle w:val="Default"/>
        <w:jc w:val="center"/>
        <w:rPr>
          <w:b/>
          <w:bCs/>
          <w:sz w:val="28"/>
          <w:szCs w:val="28"/>
        </w:rPr>
      </w:pPr>
    </w:p>
    <w:p w14:paraId="0DAB1B67" w14:textId="7846FAE2" w:rsidR="00122E6C" w:rsidRDefault="00122E6C" w:rsidP="00122E6C">
      <w:pPr>
        <w:pStyle w:val="Default"/>
        <w:jc w:val="center"/>
        <w:rPr>
          <w:b/>
          <w:bCs/>
          <w:sz w:val="22"/>
          <w:szCs w:val="22"/>
        </w:rPr>
      </w:pPr>
    </w:p>
    <w:p w14:paraId="5613A058" w14:textId="49FB2DB4" w:rsidR="00122E6C" w:rsidRDefault="00122E6C" w:rsidP="00122E6C">
      <w:pPr>
        <w:pStyle w:val="Default"/>
        <w:jc w:val="center"/>
        <w:rPr>
          <w:b/>
          <w:bCs/>
          <w:sz w:val="22"/>
          <w:szCs w:val="22"/>
        </w:rPr>
      </w:pPr>
    </w:p>
    <w:p w14:paraId="44153525" w14:textId="7CA4B5B6" w:rsidR="00122E6C" w:rsidRDefault="00122E6C" w:rsidP="00122E6C">
      <w:pPr>
        <w:pStyle w:val="Default"/>
        <w:jc w:val="center"/>
        <w:rPr>
          <w:b/>
          <w:bCs/>
          <w:sz w:val="22"/>
          <w:szCs w:val="22"/>
        </w:rPr>
      </w:pPr>
    </w:p>
    <w:p w14:paraId="55DC0F30" w14:textId="763F78E1" w:rsidR="00122E6C" w:rsidRDefault="00122E6C" w:rsidP="00122E6C">
      <w:pPr>
        <w:pStyle w:val="Default"/>
        <w:jc w:val="center"/>
        <w:rPr>
          <w:b/>
          <w:bCs/>
          <w:sz w:val="22"/>
          <w:szCs w:val="22"/>
        </w:rPr>
      </w:pPr>
    </w:p>
    <w:p w14:paraId="7C0D44C6" w14:textId="241455A5" w:rsidR="00122E6C" w:rsidRDefault="00122E6C" w:rsidP="00122E6C">
      <w:pPr>
        <w:pStyle w:val="Default"/>
        <w:jc w:val="center"/>
        <w:rPr>
          <w:b/>
          <w:bCs/>
          <w:sz w:val="22"/>
          <w:szCs w:val="22"/>
        </w:rPr>
      </w:pPr>
    </w:p>
    <w:p w14:paraId="4739CA99" w14:textId="0F1E2B5F" w:rsidR="00122E6C" w:rsidRDefault="00122E6C" w:rsidP="00122E6C">
      <w:pPr>
        <w:pStyle w:val="Default"/>
        <w:jc w:val="center"/>
        <w:rPr>
          <w:b/>
          <w:bCs/>
          <w:sz w:val="22"/>
          <w:szCs w:val="22"/>
        </w:rPr>
      </w:pPr>
    </w:p>
    <w:p w14:paraId="1372A28C" w14:textId="2FD28FD4" w:rsidR="00122E6C" w:rsidRDefault="00122E6C" w:rsidP="00122E6C">
      <w:pPr>
        <w:pStyle w:val="Default"/>
        <w:jc w:val="center"/>
        <w:rPr>
          <w:b/>
          <w:bCs/>
          <w:sz w:val="22"/>
          <w:szCs w:val="22"/>
        </w:rPr>
      </w:pPr>
    </w:p>
    <w:p w14:paraId="3BE48FFB" w14:textId="4A747377" w:rsidR="00122E6C" w:rsidRDefault="00122E6C" w:rsidP="00122E6C">
      <w:pPr>
        <w:pStyle w:val="Default"/>
        <w:jc w:val="center"/>
        <w:rPr>
          <w:b/>
          <w:bCs/>
          <w:sz w:val="22"/>
          <w:szCs w:val="22"/>
        </w:rPr>
      </w:pPr>
    </w:p>
    <w:p w14:paraId="707E698E" w14:textId="3CA457CF" w:rsidR="00122E6C" w:rsidRDefault="00122E6C" w:rsidP="00122E6C">
      <w:pPr>
        <w:pStyle w:val="Default"/>
        <w:jc w:val="center"/>
        <w:rPr>
          <w:b/>
          <w:bCs/>
          <w:sz w:val="22"/>
          <w:szCs w:val="22"/>
        </w:rPr>
      </w:pPr>
    </w:p>
    <w:p w14:paraId="07C97758" w14:textId="56F427F6" w:rsidR="00122E6C" w:rsidRDefault="00122E6C" w:rsidP="00122E6C">
      <w:pPr>
        <w:pStyle w:val="Default"/>
        <w:jc w:val="center"/>
        <w:rPr>
          <w:b/>
          <w:bCs/>
          <w:sz w:val="22"/>
          <w:szCs w:val="22"/>
        </w:rPr>
      </w:pPr>
    </w:p>
    <w:p w14:paraId="538CAD94" w14:textId="56EBDFB4" w:rsidR="00122E6C" w:rsidRDefault="00122E6C" w:rsidP="00122E6C">
      <w:pPr>
        <w:pStyle w:val="Default"/>
        <w:jc w:val="center"/>
        <w:rPr>
          <w:b/>
          <w:bCs/>
          <w:sz w:val="22"/>
          <w:szCs w:val="22"/>
        </w:rPr>
      </w:pPr>
    </w:p>
    <w:p w14:paraId="31F1ED89" w14:textId="29325EE3" w:rsidR="00122E6C" w:rsidRDefault="00122E6C" w:rsidP="00122E6C">
      <w:pPr>
        <w:pStyle w:val="Default"/>
        <w:jc w:val="center"/>
        <w:rPr>
          <w:b/>
          <w:bCs/>
          <w:sz w:val="22"/>
          <w:szCs w:val="22"/>
        </w:rPr>
      </w:pPr>
    </w:p>
    <w:p w14:paraId="1C4272A8" w14:textId="3C355F56" w:rsidR="00122E6C" w:rsidRDefault="00122E6C" w:rsidP="00122E6C">
      <w:pPr>
        <w:pStyle w:val="Default"/>
        <w:jc w:val="center"/>
        <w:rPr>
          <w:b/>
          <w:bCs/>
          <w:sz w:val="22"/>
          <w:szCs w:val="22"/>
        </w:rPr>
      </w:pPr>
    </w:p>
    <w:p w14:paraId="66974AF2" w14:textId="5523048C" w:rsidR="00122E6C" w:rsidRDefault="00122E6C" w:rsidP="00122E6C">
      <w:pPr>
        <w:pStyle w:val="Default"/>
        <w:jc w:val="center"/>
        <w:rPr>
          <w:b/>
          <w:bCs/>
          <w:sz w:val="22"/>
          <w:szCs w:val="22"/>
        </w:rPr>
      </w:pPr>
    </w:p>
    <w:p w14:paraId="3B725882" w14:textId="2CBA516A" w:rsidR="00122E6C" w:rsidRDefault="00122E6C" w:rsidP="00122E6C">
      <w:pPr>
        <w:pStyle w:val="Default"/>
        <w:jc w:val="center"/>
        <w:rPr>
          <w:b/>
          <w:bCs/>
          <w:sz w:val="22"/>
          <w:szCs w:val="22"/>
        </w:rPr>
      </w:pPr>
    </w:p>
    <w:p w14:paraId="02D20F5A" w14:textId="4FA399E1" w:rsidR="00122E6C" w:rsidRDefault="00122E6C" w:rsidP="00122E6C">
      <w:pPr>
        <w:pStyle w:val="Default"/>
        <w:jc w:val="center"/>
        <w:rPr>
          <w:b/>
          <w:bCs/>
          <w:sz w:val="22"/>
          <w:szCs w:val="22"/>
        </w:rPr>
      </w:pPr>
    </w:p>
    <w:p w14:paraId="525330B2" w14:textId="5C7FF2FB" w:rsidR="00122E6C" w:rsidRDefault="00122E6C" w:rsidP="00122E6C">
      <w:pPr>
        <w:pStyle w:val="Default"/>
        <w:jc w:val="center"/>
        <w:rPr>
          <w:b/>
          <w:bCs/>
          <w:sz w:val="22"/>
          <w:szCs w:val="22"/>
        </w:rPr>
      </w:pPr>
    </w:p>
    <w:p w14:paraId="33996A9D" w14:textId="1F9BE44D" w:rsidR="00122E6C" w:rsidRDefault="00122E6C" w:rsidP="00122E6C">
      <w:pPr>
        <w:pStyle w:val="Default"/>
        <w:jc w:val="center"/>
        <w:rPr>
          <w:b/>
          <w:bCs/>
          <w:sz w:val="22"/>
          <w:szCs w:val="22"/>
        </w:rPr>
      </w:pPr>
    </w:p>
    <w:p w14:paraId="7AC19DD3" w14:textId="4D30E028" w:rsidR="00122E6C" w:rsidRDefault="00122E6C" w:rsidP="00122E6C">
      <w:pPr>
        <w:pStyle w:val="Default"/>
        <w:jc w:val="center"/>
        <w:rPr>
          <w:i/>
          <w:iCs/>
          <w:sz w:val="22"/>
          <w:szCs w:val="22"/>
        </w:rPr>
      </w:pPr>
      <w:r w:rsidRPr="00122E6C">
        <w:rPr>
          <w:i/>
          <w:iCs/>
          <w:sz w:val="22"/>
          <w:szCs w:val="22"/>
        </w:rPr>
        <w:t>Roma, 12 novembre 2021</w:t>
      </w:r>
    </w:p>
    <w:p w14:paraId="671443D5" w14:textId="0F7B3266" w:rsidR="006910DC" w:rsidRDefault="006910DC" w:rsidP="00122E6C">
      <w:pPr>
        <w:pStyle w:val="Default"/>
        <w:jc w:val="center"/>
        <w:rPr>
          <w:i/>
          <w:iCs/>
          <w:sz w:val="22"/>
          <w:szCs w:val="22"/>
        </w:rPr>
      </w:pPr>
    </w:p>
    <w:p w14:paraId="04493BBD" w14:textId="77777777" w:rsidR="006910DC" w:rsidRDefault="006910DC" w:rsidP="00122E6C">
      <w:pPr>
        <w:pStyle w:val="Default"/>
        <w:jc w:val="center"/>
        <w:rPr>
          <w:i/>
          <w:iCs/>
          <w:sz w:val="22"/>
          <w:szCs w:val="22"/>
        </w:rPr>
      </w:pPr>
    </w:p>
    <w:p w14:paraId="17686AFB" w14:textId="77777777" w:rsidR="00B3218C" w:rsidRDefault="00B3218C" w:rsidP="00122E6C">
      <w:pPr>
        <w:jc w:val="both"/>
        <w:rPr>
          <w:rFonts w:ascii="Bookman Old Style" w:hAnsi="Bookman Old Style"/>
          <w:sz w:val="24"/>
          <w:szCs w:val="24"/>
        </w:rPr>
      </w:pPr>
    </w:p>
    <w:p w14:paraId="48E214F5" w14:textId="1BDCD283"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lastRenderedPageBreak/>
        <w:t>Con il dl 152 prosegue l’intervento per snellire e potenziare gli strumenti di attuazione del Piano nazionale di ripresa e resilienza (PNRR). Questa ripetuta attenzione mostra l’esigenza di innovare e sfoltire i percorsi procedurali che caratterizzano l’ordinaria gestione degli acquisti, degli affidamenti e dell’acquisizione di risorse professionali qualificate, nonché la collaborazione interistituzionale. Si tratta, come è ormai evidente, dei terreni principali sui quali si determinerà l’effettiva capacità del “sistema Italia” di sviluppare e portare a termine il più massiccio intervento di infrastrutturazione della nostra storia recente e meno recente.</w:t>
      </w:r>
    </w:p>
    <w:p w14:paraId="244ACA94"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 xml:space="preserve">L’ANCI ha in diverse occasioni sottolineato l’assoluta esigenza di pervenire in tempi rapidi ad un quadro ben definito delle risorse disponibili nei territori, da ultimo nell’Assemblea di Parma svoltasi tra il 9 e l’11 novembre. Il punto di riferimento sintetico della posizione dell’ANCI è la richiesta – rinnovata ieri dal Presidente Decaro – di </w:t>
      </w:r>
      <w:r w:rsidRPr="00181A25">
        <w:rPr>
          <w:rFonts w:ascii="Bookman Old Style" w:hAnsi="Bookman Old Style"/>
          <w:b/>
          <w:bCs/>
          <w:sz w:val="24"/>
          <w:szCs w:val="24"/>
        </w:rPr>
        <w:t>arrivare entro il primo semestre del 2022 alla completa definizione delle assegnazioni di risorse agli enti locali</w:t>
      </w:r>
      <w:r w:rsidRPr="00181A25">
        <w:rPr>
          <w:rFonts w:ascii="Bookman Old Style" w:hAnsi="Bookman Old Style"/>
          <w:sz w:val="24"/>
          <w:szCs w:val="24"/>
        </w:rPr>
        <w:t>, così da permettere l’apertura dei cantieri, anche i più complessi, entro la fine del 2023.</w:t>
      </w:r>
    </w:p>
    <w:p w14:paraId="644A65DB"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Le semplificazioni procedurali e la facilitazione nell’acquisizione di personale sono elementi fondanti per il raggiungimento di questo essenziale obiettivo.</w:t>
      </w:r>
    </w:p>
    <w:p w14:paraId="15327773"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Il decreto 152 interviene, oltre che su un ulteriore insieme di misure di sostegno e di incentivo alla ripresa di diversi settori economici, anche su ulteriori strumenti finanziari e procedurali “abilitanti” per l’attuazione del Piano di ripresa e resilienza, che sta vedendo in queste settimane i suoi primi e importanti passi attuativi.</w:t>
      </w:r>
    </w:p>
    <w:p w14:paraId="4C1D380A"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 xml:space="preserve">Riepiloghiamo di seguito le principali misure di interesse diretto ed indiretto dei Comuni e delle </w:t>
      </w:r>
      <w:r>
        <w:rPr>
          <w:rFonts w:ascii="Bookman Old Style" w:hAnsi="Bookman Old Style"/>
          <w:sz w:val="24"/>
          <w:szCs w:val="24"/>
        </w:rPr>
        <w:t>C</w:t>
      </w:r>
      <w:r w:rsidRPr="00181A25">
        <w:rPr>
          <w:rFonts w:ascii="Bookman Old Style" w:hAnsi="Bookman Old Style"/>
          <w:sz w:val="24"/>
          <w:szCs w:val="24"/>
        </w:rPr>
        <w:t>ittà metropolitane:</w:t>
      </w:r>
    </w:p>
    <w:p w14:paraId="17FBB97E"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interventi a </w:t>
      </w:r>
      <w:r w:rsidRPr="00181A25">
        <w:rPr>
          <w:rFonts w:ascii="Bookman Old Style" w:hAnsi="Bookman Old Style"/>
          <w:b/>
          <w:bCs/>
          <w:sz w:val="24"/>
          <w:szCs w:val="24"/>
        </w:rPr>
        <w:t>sostegno delle imprese turistiche</w:t>
      </w:r>
      <w:r w:rsidRPr="00181A25">
        <w:rPr>
          <w:rFonts w:ascii="Bookman Old Style" w:hAnsi="Bookman Old Style"/>
          <w:sz w:val="24"/>
          <w:szCs w:val="24"/>
        </w:rPr>
        <w:t xml:space="preserve"> (artt. 1-4); </w:t>
      </w:r>
    </w:p>
    <w:p w14:paraId="2F07D2CB"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sistemazione del dispositivo finanziario relativo ai Piani urbani integrati e Sviluppo imprese turistiche, con la </w:t>
      </w:r>
      <w:r w:rsidRPr="00181A25">
        <w:rPr>
          <w:rFonts w:ascii="Bookman Old Style" w:hAnsi="Bookman Old Style"/>
          <w:b/>
          <w:bCs/>
          <w:sz w:val="24"/>
          <w:szCs w:val="24"/>
        </w:rPr>
        <w:t>costituzione del Fondo ripresa resilienza Italia</w:t>
      </w:r>
      <w:r w:rsidRPr="00181A25">
        <w:rPr>
          <w:rFonts w:ascii="Bookman Old Style" w:hAnsi="Bookman Old Style"/>
          <w:sz w:val="24"/>
          <w:szCs w:val="24"/>
        </w:rPr>
        <w:t xml:space="preserve"> presso la BEI (art. 8), i cui contorni operativi non sono ancora ben definiti;</w:t>
      </w:r>
    </w:p>
    <w:p w14:paraId="5A2E7C2D" w14:textId="77777777" w:rsidR="00122E6C"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mantenimento del </w:t>
      </w:r>
      <w:r w:rsidRPr="00181A25">
        <w:rPr>
          <w:rFonts w:ascii="Bookman Old Style" w:hAnsi="Bookman Old Style"/>
          <w:b/>
          <w:bCs/>
          <w:sz w:val="24"/>
          <w:szCs w:val="24"/>
        </w:rPr>
        <w:t>riferimento ai dati contabili locali ai fini del calcolo dello stock di debito commerciale e di ritardo nei pagamenti</w:t>
      </w:r>
      <w:r w:rsidRPr="00181A25">
        <w:rPr>
          <w:rFonts w:ascii="Bookman Old Style" w:hAnsi="Bookman Old Style"/>
          <w:sz w:val="24"/>
          <w:szCs w:val="24"/>
        </w:rPr>
        <w:t>, sulla cui base eventualmente definire l’accantonamento obbligatorio al Fondo garanzia debiti commerciali (FGDC), evitando il ricorso ai dati della Piattaforma crediti commerciali (PCC), ancora disallineati (art. 9);</w:t>
      </w:r>
    </w:p>
    <w:p w14:paraId="445EC0A9" w14:textId="77777777" w:rsidR="00122E6C" w:rsidRDefault="00122E6C" w:rsidP="00122E6C">
      <w:pPr>
        <w:pStyle w:val="Paragrafoelenco"/>
        <w:numPr>
          <w:ilvl w:val="0"/>
          <w:numId w:val="2"/>
        </w:numPr>
        <w:jc w:val="both"/>
        <w:rPr>
          <w:rFonts w:ascii="Bookman Old Style" w:hAnsi="Bookman Old Style"/>
          <w:sz w:val="24"/>
          <w:szCs w:val="24"/>
        </w:rPr>
      </w:pPr>
      <w:r>
        <w:rPr>
          <w:rFonts w:ascii="Bookman Old Style" w:hAnsi="Bookman Old Style"/>
          <w:sz w:val="24"/>
          <w:szCs w:val="24"/>
        </w:rPr>
        <w:t xml:space="preserve">attivazione dei </w:t>
      </w:r>
      <w:r w:rsidRPr="005333CB">
        <w:rPr>
          <w:rFonts w:ascii="Bookman Old Style" w:hAnsi="Bookman Old Style"/>
          <w:b/>
          <w:bCs/>
          <w:sz w:val="24"/>
          <w:szCs w:val="24"/>
        </w:rPr>
        <w:t>Piani urbani integrati per oltre 2,5 mld.</w:t>
      </w:r>
      <w:r>
        <w:rPr>
          <w:rFonts w:ascii="Bookman Old Style" w:hAnsi="Bookman Old Style"/>
          <w:sz w:val="24"/>
          <w:szCs w:val="24"/>
        </w:rPr>
        <w:t xml:space="preserve"> di euro (art. 21), destinati alle Città metropolitane per progetti di risanamento delle zone periferiche delle grandi aree urbane;</w:t>
      </w:r>
    </w:p>
    <w:p w14:paraId="0211E5F8"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8F13FB">
        <w:rPr>
          <w:rFonts w:ascii="Bookman Old Style" w:hAnsi="Bookman Old Style"/>
          <w:b/>
          <w:bCs/>
          <w:sz w:val="24"/>
          <w:szCs w:val="24"/>
        </w:rPr>
        <w:t>progettazione scuole innovative</w:t>
      </w:r>
      <w:r>
        <w:rPr>
          <w:rFonts w:ascii="Bookman Old Style" w:hAnsi="Bookman Old Style"/>
          <w:sz w:val="24"/>
          <w:szCs w:val="24"/>
        </w:rPr>
        <w:t xml:space="preserve"> (art. 24), a cura del Ministero Istruzione, che permetterà di procedere con maggior speditezza e sulla base di progetti già definiti alla realizzazione di 195 scuole ad alta efficienza energetica;</w:t>
      </w:r>
    </w:p>
    <w:p w14:paraId="03B01504"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b/>
          <w:bCs/>
          <w:sz w:val="24"/>
          <w:szCs w:val="24"/>
        </w:rPr>
        <w:t>confluenza nelle misure finanziate con il PNRR di diversi contributi e assegnazioni</w:t>
      </w:r>
      <w:r w:rsidRPr="00181A25">
        <w:rPr>
          <w:rFonts w:ascii="Bookman Old Style" w:hAnsi="Bookman Old Style"/>
          <w:sz w:val="24"/>
          <w:szCs w:val="24"/>
        </w:rPr>
        <w:t xml:space="preserve"> </w:t>
      </w:r>
      <w:r w:rsidRPr="00181A25">
        <w:rPr>
          <w:rFonts w:ascii="Bookman Old Style" w:hAnsi="Bookman Old Style"/>
          <w:b/>
          <w:bCs/>
          <w:sz w:val="24"/>
          <w:szCs w:val="24"/>
        </w:rPr>
        <w:t>già attivati</w:t>
      </w:r>
      <w:r w:rsidRPr="00181A25">
        <w:rPr>
          <w:rFonts w:ascii="Bookman Old Style" w:hAnsi="Bookman Old Style"/>
          <w:sz w:val="24"/>
          <w:szCs w:val="24"/>
        </w:rPr>
        <w:t xml:space="preserve"> con provvedimenti recenti (art. 20): dai contributi relativi alle “piccole opere” (commi 29 e ss., l. n. 160/2019), agli interventi di </w:t>
      </w:r>
      <w:r w:rsidRPr="00181A25">
        <w:rPr>
          <w:rFonts w:ascii="Bookman Old Style" w:hAnsi="Bookman Old Style"/>
          <w:sz w:val="24"/>
          <w:szCs w:val="24"/>
        </w:rPr>
        <w:lastRenderedPageBreak/>
        <w:t>Rigenerazione urbana (co. 42 della stessa legge), alle cd “opere medie” (</w:t>
      </w:r>
      <w:r w:rsidRPr="00181A25">
        <w:rPr>
          <w:rFonts w:ascii="Bookman Old Style" w:hAnsi="Bookman Old Style"/>
          <w:i/>
          <w:iCs/>
          <w:sz w:val="24"/>
          <w:szCs w:val="24"/>
        </w:rPr>
        <w:t>ex</w:t>
      </w:r>
      <w:r w:rsidRPr="00181A25">
        <w:rPr>
          <w:rFonts w:ascii="Bookman Old Style" w:hAnsi="Bookman Old Style"/>
          <w:sz w:val="24"/>
          <w:szCs w:val="24"/>
        </w:rPr>
        <w:t xml:space="preserve"> co. 139 L. 145/2018).</w:t>
      </w:r>
    </w:p>
    <w:p w14:paraId="1522FD98" w14:textId="4B2F59F9" w:rsidR="00122E6C" w:rsidRPr="00181A25" w:rsidRDefault="00122E6C" w:rsidP="00122E6C">
      <w:pPr>
        <w:jc w:val="both"/>
        <w:rPr>
          <w:rFonts w:ascii="Bookman Old Style" w:hAnsi="Bookman Old Style"/>
          <w:sz w:val="24"/>
          <w:szCs w:val="24"/>
        </w:rPr>
      </w:pPr>
      <w:r w:rsidRPr="005333CB">
        <w:rPr>
          <w:rFonts w:ascii="Bookman Old Style" w:hAnsi="Bookman Old Style"/>
          <w:b/>
          <w:bCs/>
          <w:sz w:val="24"/>
          <w:szCs w:val="24"/>
        </w:rPr>
        <w:t>Questa confluenza comporta</w:t>
      </w:r>
      <w:r w:rsidRPr="00181A25">
        <w:rPr>
          <w:rFonts w:ascii="Bookman Old Style" w:hAnsi="Bookman Old Style"/>
          <w:sz w:val="24"/>
          <w:szCs w:val="24"/>
        </w:rPr>
        <w:t xml:space="preserve"> l’applicazione del più complesso sistema di monitoraggio necessario per la rendicontazione delle misure PNRR ed estende il sistema sanzionatorio previsto dal Piano</w:t>
      </w:r>
      <w:r w:rsidR="006006AE">
        <w:rPr>
          <w:rFonts w:ascii="Bookman Old Style" w:hAnsi="Bookman Old Style"/>
          <w:sz w:val="24"/>
          <w:szCs w:val="24"/>
        </w:rPr>
        <w:t>:</w:t>
      </w:r>
      <w:r w:rsidRPr="00181A25">
        <w:rPr>
          <w:rFonts w:ascii="Bookman Old Style" w:hAnsi="Bookman Old Style"/>
          <w:sz w:val="24"/>
          <w:szCs w:val="24"/>
        </w:rPr>
        <w:t xml:space="preserve"> termini più stringenti per l’attivazione e la conclusione dei lavori, obbligo di conservazione su formato elettronico elaborabile dei documenti di affidamento</w:t>
      </w:r>
      <w:r w:rsidR="006006AE">
        <w:rPr>
          <w:rFonts w:ascii="Bookman Old Style" w:hAnsi="Bookman Old Style"/>
          <w:sz w:val="24"/>
          <w:szCs w:val="24"/>
        </w:rPr>
        <w:t>, ecc</w:t>
      </w:r>
      <w:r w:rsidRPr="00181A25">
        <w:rPr>
          <w:rFonts w:ascii="Bookman Old Style" w:hAnsi="Bookman Old Style"/>
          <w:sz w:val="24"/>
          <w:szCs w:val="24"/>
        </w:rPr>
        <w:t xml:space="preserve">. Tutti elementi che confermano l’esigenza di attivare gli strumenti di rafforzamento tecnico-amministrativo, soprattutto verso i Comuni di piccole dimensioni, che dispongono di strutture più deboli e meno adattabili ai necessari incrementi di attività che il PNRR richiede. </w:t>
      </w:r>
    </w:p>
    <w:p w14:paraId="6D6AA236" w14:textId="77777777" w:rsidR="00122E6C" w:rsidRPr="00181A25" w:rsidRDefault="00122E6C" w:rsidP="00122E6C">
      <w:pPr>
        <w:jc w:val="both"/>
        <w:rPr>
          <w:rFonts w:ascii="Bookman Old Style" w:hAnsi="Bookman Old Style"/>
          <w:sz w:val="24"/>
          <w:szCs w:val="24"/>
        </w:rPr>
      </w:pPr>
      <w:r w:rsidRPr="00181A25">
        <w:rPr>
          <w:rFonts w:ascii="Bookman Old Style" w:hAnsi="Bookman Old Style"/>
          <w:sz w:val="24"/>
          <w:szCs w:val="24"/>
        </w:rPr>
        <w:t>Sotto il profilo più strettamente procedurale e finanziario, vanno ricordate le seguenti disposizioni</w:t>
      </w:r>
    </w:p>
    <w:p w14:paraId="0F880599" w14:textId="77777777" w:rsidR="00122E6C" w:rsidRPr="00181A25" w:rsidRDefault="00122E6C" w:rsidP="00122E6C">
      <w:pPr>
        <w:pStyle w:val="Paragrafoelenco"/>
        <w:numPr>
          <w:ilvl w:val="0"/>
          <w:numId w:val="2"/>
        </w:numPr>
        <w:jc w:val="both"/>
        <w:rPr>
          <w:rFonts w:ascii="Bookman Old Style" w:hAnsi="Bookman Old Style"/>
          <w:sz w:val="24"/>
          <w:szCs w:val="24"/>
        </w:rPr>
      </w:pPr>
      <w:r w:rsidRPr="00181A25">
        <w:rPr>
          <w:rFonts w:ascii="Bookman Old Style" w:hAnsi="Bookman Old Style"/>
          <w:sz w:val="24"/>
          <w:szCs w:val="24"/>
        </w:rPr>
        <w:t xml:space="preserve">integrazione delle risorse disponibili per gli interventi di </w:t>
      </w:r>
      <w:r w:rsidRPr="005333CB">
        <w:rPr>
          <w:rFonts w:ascii="Bookman Old Style" w:hAnsi="Bookman Old Style"/>
          <w:b/>
          <w:bCs/>
          <w:sz w:val="24"/>
          <w:szCs w:val="24"/>
        </w:rPr>
        <w:t>Rigenerazione urbana</w:t>
      </w:r>
      <w:r w:rsidRPr="00181A25">
        <w:rPr>
          <w:rFonts w:ascii="Bookman Old Style" w:hAnsi="Bookman Old Style"/>
          <w:sz w:val="24"/>
          <w:szCs w:val="24"/>
        </w:rPr>
        <w:t xml:space="preserve"> (art. 1 co. 42, l. 160/2019) per ulteriori 500 milioni di euro (100 mln per il 2022 e 200 per ciascuno degli anni 2023 e 2024), intervento già annunciato, che permetterà di assegnare risorse per 3,4 miliardi sulla base della graduatoria in corso di emanazione a cura del Ministero dell’Interno e del </w:t>
      </w:r>
      <w:proofErr w:type="spellStart"/>
      <w:r w:rsidRPr="00181A25">
        <w:rPr>
          <w:rFonts w:ascii="Bookman Old Style" w:hAnsi="Bookman Old Style"/>
          <w:sz w:val="24"/>
          <w:szCs w:val="24"/>
        </w:rPr>
        <w:t>Mef</w:t>
      </w:r>
      <w:proofErr w:type="spellEnd"/>
      <w:r w:rsidRPr="00181A25">
        <w:rPr>
          <w:rFonts w:ascii="Bookman Old Style" w:hAnsi="Bookman Old Style"/>
          <w:sz w:val="24"/>
          <w:szCs w:val="24"/>
        </w:rPr>
        <w:t>;</w:t>
      </w:r>
    </w:p>
    <w:p w14:paraId="704B6BFC" w14:textId="25CF94D7" w:rsidR="00122E6C" w:rsidRPr="00181A25" w:rsidRDefault="006006AE" w:rsidP="00122E6C">
      <w:pPr>
        <w:spacing w:after="0"/>
        <w:jc w:val="both"/>
        <w:rPr>
          <w:rFonts w:ascii="Bookman Old Style" w:hAnsi="Bookman Old Style"/>
          <w:sz w:val="24"/>
          <w:szCs w:val="24"/>
        </w:rPr>
      </w:pPr>
      <w:r w:rsidRPr="006006AE">
        <w:rPr>
          <w:rFonts w:ascii="Bookman Old Style" w:hAnsi="Bookman Old Style"/>
          <w:sz w:val="24"/>
          <w:szCs w:val="24"/>
        </w:rPr>
        <w:t>Su questo punto</w:t>
      </w:r>
      <w:r>
        <w:rPr>
          <w:rFonts w:ascii="Bookman Old Style" w:hAnsi="Bookman Old Style"/>
          <w:b/>
          <w:bCs/>
          <w:sz w:val="24"/>
          <w:szCs w:val="24"/>
        </w:rPr>
        <w:t xml:space="preserve"> v</w:t>
      </w:r>
      <w:r w:rsidR="00122E6C" w:rsidRPr="00181A25">
        <w:rPr>
          <w:rFonts w:ascii="Bookman Old Style" w:hAnsi="Bookman Old Style"/>
          <w:b/>
          <w:bCs/>
          <w:sz w:val="24"/>
          <w:szCs w:val="24"/>
        </w:rPr>
        <w:t>a osservato che l’ammontare complessivo delle risorse oggetto di richiesta sul bando rigenerazione urbana è pari a 4,3 miliardi di euro</w:t>
      </w:r>
      <w:r w:rsidR="00122E6C" w:rsidRPr="00181A25">
        <w:rPr>
          <w:rFonts w:ascii="Bookman Old Style" w:hAnsi="Bookman Old Style"/>
          <w:sz w:val="24"/>
          <w:szCs w:val="24"/>
        </w:rPr>
        <w:t>, con una significativa presenza delle aree meridionali e insulari oggetto</w:t>
      </w:r>
      <w:r>
        <w:rPr>
          <w:rFonts w:ascii="Bookman Old Style" w:hAnsi="Bookman Old Style"/>
          <w:sz w:val="24"/>
          <w:szCs w:val="24"/>
        </w:rPr>
        <w:t xml:space="preserve"> di dei diversi interventi</w:t>
      </w:r>
      <w:r w:rsidR="00122E6C" w:rsidRPr="00181A25">
        <w:rPr>
          <w:rFonts w:ascii="Bookman Old Style" w:hAnsi="Bookman Old Style"/>
          <w:sz w:val="24"/>
          <w:szCs w:val="24"/>
        </w:rPr>
        <w:t xml:space="preserve">. Per una più equilibrata ripartizione delle risorse è necessario ad avviso dell’ANCI intervenire in due direzioni: </w:t>
      </w:r>
    </w:p>
    <w:p w14:paraId="187AA599" w14:textId="7335388B" w:rsidR="00122E6C" w:rsidRPr="00181A25" w:rsidRDefault="00122E6C" w:rsidP="00122E6C">
      <w:pPr>
        <w:pStyle w:val="Paragrafoelenco"/>
        <w:numPr>
          <w:ilvl w:val="0"/>
          <w:numId w:val="1"/>
        </w:numPr>
        <w:ind w:left="426" w:hanging="426"/>
        <w:jc w:val="both"/>
        <w:rPr>
          <w:rFonts w:ascii="Bookman Old Style" w:hAnsi="Bookman Old Style"/>
          <w:sz w:val="24"/>
          <w:szCs w:val="24"/>
        </w:rPr>
      </w:pPr>
      <w:r w:rsidRPr="00181A25">
        <w:rPr>
          <w:rFonts w:ascii="Bookman Old Style" w:hAnsi="Bookman Old Style"/>
          <w:sz w:val="24"/>
          <w:szCs w:val="24"/>
        </w:rPr>
        <w:t xml:space="preserve">in primo luogo, </w:t>
      </w:r>
      <w:r w:rsidR="006006AE">
        <w:rPr>
          <w:rFonts w:ascii="Bookman Old Style" w:hAnsi="Bookman Old Style"/>
          <w:sz w:val="24"/>
          <w:szCs w:val="24"/>
        </w:rPr>
        <w:t xml:space="preserve">estendere il </w:t>
      </w:r>
      <w:r w:rsidRPr="00181A25">
        <w:rPr>
          <w:rFonts w:ascii="Bookman Old Style" w:hAnsi="Bookman Old Style"/>
          <w:sz w:val="24"/>
          <w:szCs w:val="24"/>
        </w:rPr>
        <w:t xml:space="preserve">programma ai Comuni con popolazione inferiore a 15mila abitanti che presentino progetti in forma associata, </w:t>
      </w:r>
      <w:r w:rsidRPr="006006AE">
        <w:rPr>
          <w:rFonts w:ascii="Bookman Old Style" w:hAnsi="Bookman Old Style"/>
          <w:b/>
          <w:bCs/>
          <w:sz w:val="24"/>
          <w:szCs w:val="24"/>
        </w:rPr>
        <w:t xml:space="preserve">misura già inserita nel </w:t>
      </w:r>
      <w:proofErr w:type="spellStart"/>
      <w:r w:rsidRPr="006006AE">
        <w:rPr>
          <w:rFonts w:ascii="Bookman Old Style" w:hAnsi="Bookman Old Style"/>
          <w:b/>
          <w:bCs/>
          <w:sz w:val="24"/>
          <w:szCs w:val="24"/>
        </w:rPr>
        <w:t>ddl</w:t>
      </w:r>
      <w:proofErr w:type="spellEnd"/>
      <w:r w:rsidRPr="006006AE">
        <w:rPr>
          <w:rFonts w:ascii="Bookman Old Style" w:hAnsi="Bookman Old Style"/>
          <w:b/>
          <w:bCs/>
          <w:sz w:val="24"/>
          <w:szCs w:val="24"/>
        </w:rPr>
        <w:t xml:space="preserve"> Bilancio 2022</w:t>
      </w:r>
      <w:r w:rsidRPr="00181A25">
        <w:rPr>
          <w:rFonts w:ascii="Bookman Old Style" w:hAnsi="Bookman Old Style"/>
          <w:sz w:val="24"/>
          <w:szCs w:val="24"/>
        </w:rPr>
        <w:t>, con una apposita dotazione finanziaria (300 mln. di euro);</w:t>
      </w:r>
    </w:p>
    <w:p w14:paraId="342FAC95" w14:textId="3BA2473F" w:rsidR="00122E6C" w:rsidRPr="00181A25" w:rsidRDefault="00122E6C" w:rsidP="00122E6C">
      <w:pPr>
        <w:pStyle w:val="Paragrafoelenco"/>
        <w:numPr>
          <w:ilvl w:val="0"/>
          <w:numId w:val="1"/>
        </w:numPr>
        <w:ind w:left="426" w:hanging="426"/>
        <w:jc w:val="both"/>
        <w:rPr>
          <w:rFonts w:ascii="Bookman Old Style" w:hAnsi="Bookman Old Style"/>
          <w:sz w:val="24"/>
          <w:szCs w:val="24"/>
        </w:rPr>
      </w:pPr>
      <w:r w:rsidRPr="00181A25">
        <w:rPr>
          <w:rFonts w:ascii="Bookman Old Style" w:hAnsi="Bookman Old Style"/>
          <w:sz w:val="24"/>
          <w:szCs w:val="24"/>
        </w:rPr>
        <w:t xml:space="preserve">in secondo luogo, </w:t>
      </w:r>
      <w:r w:rsidR="006006AE">
        <w:rPr>
          <w:rFonts w:ascii="Bookman Old Style" w:hAnsi="Bookman Old Style"/>
          <w:b/>
          <w:bCs/>
          <w:sz w:val="24"/>
          <w:szCs w:val="24"/>
        </w:rPr>
        <w:t xml:space="preserve">aumentare le </w:t>
      </w:r>
      <w:r w:rsidRPr="00181A25">
        <w:rPr>
          <w:rFonts w:ascii="Bookman Old Style" w:hAnsi="Bookman Old Style"/>
          <w:b/>
          <w:bCs/>
          <w:sz w:val="24"/>
          <w:szCs w:val="24"/>
        </w:rPr>
        <w:t>risorse per ampliare l’accesso ai progetti già considerati ammissibili</w:t>
      </w:r>
      <w:r w:rsidR="006006AE">
        <w:rPr>
          <w:rFonts w:ascii="Bookman Old Style" w:hAnsi="Bookman Old Style"/>
          <w:b/>
          <w:bCs/>
          <w:sz w:val="24"/>
          <w:szCs w:val="24"/>
        </w:rPr>
        <w:t xml:space="preserve">, attraverso </w:t>
      </w:r>
      <w:r w:rsidRPr="00181A25">
        <w:rPr>
          <w:rFonts w:ascii="Bookman Old Style" w:hAnsi="Bookman Old Style"/>
          <w:b/>
          <w:bCs/>
          <w:sz w:val="24"/>
          <w:szCs w:val="24"/>
        </w:rPr>
        <w:t>l</w:t>
      </w:r>
      <w:r>
        <w:rPr>
          <w:rFonts w:ascii="Bookman Old Style" w:hAnsi="Bookman Old Style"/>
          <w:b/>
          <w:bCs/>
          <w:sz w:val="24"/>
          <w:szCs w:val="24"/>
        </w:rPr>
        <w:t xml:space="preserve">o scorrimento della </w:t>
      </w:r>
      <w:r w:rsidRPr="00181A25">
        <w:rPr>
          <w:rFonts w:ascii="Bookman Old Style" w:hAnsi="Bookman Old Style"/>
          <w:b/>
          <w:bCs/>
          <w:sz w:val="24"/>
          <w:szCs w:val="24"/>
        </w:rPr>
        <w:t>graduatoria in corso di pubblicazione</w:t>
      </w:r>
      <w:r w:rsidRPr="00181A25">
        <w:rPr>
          <w:rFonts w:ascii="Bookman Old Style" w:hAnsi="Bookman Old Style"/>
          <w:sz w:val="24"/>
          <w:szCs w:val="24"/>
        </w:rPr>
        <w:t xml:space="preserve">. Si tratta di progetti già ben strutturati, nel solco degli obiettivi concordati con il PNRR, con grande e diffuso impatto territoriale, per soddisfare i quali è necessario </w:t>
      </w:r>
      <w:r w:rsidRPr="00181A25">
        <w:rPr>
          <w:rFonts w:ascii="Bookman Old Style" w:hAnsi="Bookman Old Style"/>
          <w:b/>
          <w:bCs/>
          <w:sz w:val="24"/>
          <w:szCs w:val="24"/>
        </w:rPr>
        <w:t>un ulteriore impulso finanziario per circa un miliardo di euro</w:t>
      </w:r>
      <w:r w:rsidRPr="00181A25">
        <w:rPr>
          <w:rFonts w:ascii="Bookman Old Style" w:hAnsi="Bookman Old Style"/>
          <w:sz w:val="24"/>
          <w:szCs w:val="24"/>
        </w:rPr>
        <w:t xml:space="preserve">. </w:t>
      </w:r>
    </w:p>
    <w:p w14:paraId="23FCAD57" w14:textId="77777777" w:rsidR="00122E6C" w:rsidRPr="00181A25" w:rsidRDefault="00122E6C" w:rsidP="00122E6C">
      <w:pPr>
        <w:jc w:val="both"/>
        <w:rPr>
          <w:rFonts w:ascii="Bookman Old Style" w:hAnsi="Bookman Old Style"/>
          <w:sz w:val="24"/>
          <w:szCs w:val="24"/>
        </w:rPr>
      </w:pPr>
    </w:p>
    <w:p w14:paraId="08E48B8F" w14:textId="77777777" w:rsidR="006006AE" w:rsidRPr="006006AE" w:rsidRDefault="006006AE" w:rsidP="006006AE">
      <w:pPr>
        <w:pStyle w:val="Paragrafoelenco"/>
        <w:numPr>
          <w:ilvl w:val="0"/>
          <w:numId w:val="2"/>
        </w:numPr>
        <w:jc w:val="both"/>
        <w:rPr>
          <w:rFonts w:ascii="Bookman Old Style" w:hAnsi="Bookman Old Style"/>
          <w:sz w:val="24"/>
          <w:szCs w:val="24"/>
        </w:rPr>
      </w:pPr>
      <w:r w:rsidRPr="006006AE">
        <w:rPr>
          <w:rFonts w:ascii="Bookman Old Style" w:hAnsi="Bookman Old Style"/>
          <w:sz w:val="24"/>
          <w:szCs w:val="24"/>
        </w:rPr>
        <w:t xml:space="preserve">proroga al 31 dicembre 2026 della data di scadenza dei programmi operativi complementari relativi alla programmazione comunitaria 2014/2020, con specificazione che </w:t>
      </w:r>
      <w:r w:rsidRPr="006006AE">
        <w:rPr>
          <w:rFonts w:ascii="Bookman Old Style" w:hAnsi="Bookman Old Style"/>
          <w:b/>
          <w:bCs/>
          <w:sz w:val="24"/>
          <w:szCs w:val="24"/>
        </w:rPr>
        <w:t>le risorse dei programmi stessi potranno essere utilizzate anche per il supporto tecnico e operativo</w:t>
      </w:r>
      <w:r w:rsidRPr="006006AE">
        <w:rPr>
          <w:rFonts w:ascii="Bookman Old Style" w:hAnsi="Bookman Old Style"/>
          <w:sz w:val="24"/>
          <w:szCs w:val="24"/>
        </w:rPr>
        <w:t xml:space="preserve"> all’attuazione del PNRR (art. 9);</w:t>
      </w:r>
      <w:r w:rsidRPr="006006AE">
        <w:t xml:space="preserve"> </w:t>
      </w:r>
    </w:p>
    <w:p w14:paraId="18653CCF" w14:textId="77777777" w:rsidR="006006AE" w:rsidRDefault="00122E6C" w:rsidP="006006AE">
      <w:pPr>
        <w:pStyle w:val="Paragrafoelenco"/>
        <w:numPr>
          <w:ilvl w:val="0"/>
          <w:numId w:val="2"/>
        </w:numPr>
        <w:jc w:val="both"/>
        <w:rPr>
          <w:rFonts w:ascii="Bookman Old Style" w:hAnsi="Bookman Old Style"/>
          <w:sz w:val="24"/>
          <w:szCs w:val="24"/>
        </w:rPr>
      </w:pPr>
      <w:r w:rsidRPr="006006AE">
        <w:rPr>
          <w:rFonts w:ascii="Bookman Old Style" w:hAnsi="Bookman Old Style"/>
          <w:sz w:val="24"/>
          <w:szCs w:val="24"/>
        </w:rPr>
        <w:t xml:space="preserve">al comma 6 dello stesso art. 9, si determina un </w:t>
      </w:r>
      <w:r w:rsidRPr="006006AE">
        <w:rPr>
          <w:rFonts w:ascii="Bookman Old Style" w:hAnsi="Bookman Old Style"/>
          <w:b/>
          <w:bCs/>
          <w:sz w:val="24"/>
          <w:szCs w:val="24"/>
        </w:rPr>
        <w:t>dispositivo di anticipazione</w:t>
      </w:r>
      <w:r w:rsidRPr="006006AE">
        <w:rPr>
          <w:rFonts w:ascii="Bookman Old Style" w:hAnsi="Bookman Old Style"/>
          <w:sz w:val="24"/>
          <w:szCs w:val="24"/>
        </w:rPr>
        <w:t xml:space="preserve"> basato su un fondo centrale a favore dei soggetti attuatori delle misure del PNRR “</w:t>
      </w:r>
      <w:r w:rsidRPr="006006AE">
        <w:rPr>
          <w:rFonts w:ascii="Bookman Old Style" w:hAnsi="Bookman Old Style"/>
          <w:i/>
          <w:iCs/>
          <w:sz w:val="24"/>
          <w:szCs w:val="24"/>
        </w:rPr>
        <w:t>ivi compresi gli enti territoriali</w:t>
      </w:r>
      <w:r w:rsidRPr="006006AE">
        <w:rPr>
          <w:rFonts w:ascii="Bookman Old Style" w:hAnsi="Bookman Old Style"/>
          <w:sz w:val="24"/>
          <w:szCs w:val="24"/>
        </w:rPr>
        <w:t xml:space="preserve">”, particolarmente opportuno con riferimento a quella parte di enti locali che si trova in condizioni di tensione </w:t>
      </w:r>
      <w:r w:rsidRPr="006006AE">
        <w:rPr>
          <w:rFonts w:ascii="Bookman Old Style" w:hAnsi="Bookman Old Style"/>
          <w:sz w:val="24"/>
          <w:szCs w:val="24"/>
        </w:rPr>
        <w:lastRenderedPageBreak/>
        <w:t xml:space="preserve">finanziaria e quindi di non sufficiente disponibilità di cassa per l’attuazione degli interventi di propria competenza. La norma puntualizza che </w:t>
      </w:r>
      <w:r w:rsidRPr="006006AE">
        <w:rPr>
          <w:rFonts w:ascii="Bookman Old Style" w:hAnsi="Bookman Old Style"/>
          <w:b/>
          <w:bCs/>
          <w:sz w:val="24"/>
          <w:szCs w:val="24"/>
        </w:rPr>
        <w:t>le anticipazioni in questione “</w:t>
      </w:r>
      <w:r w:rsidRPr="006006AE">
        <w:rPr>
          <w:rFonts w:ascii="Bookman Old Style" w:hAnsi="Bookman Old Style"/>
          <w:b/>
          <w:bCs/>
          <w:i/>
          <w:iCs/>
          <w:sz w:val="24"/>
          <w:szCs w:val="24"/>
        </w:rPr>
        <w:t>costituiscono trasferimenti di risorse per la realizzazione tempestiva degli interventi PNRR</w:t>
      </w:r>
      <w:r w:rsidRPr="006006AE">
        <w:rPr>
          <w:rFonts w:ascii="Bookman Old Style" w:hAnsi="Bookman Old Style"/>
          <w:b/>
          <w:bCs/>
          <w:sz w:val="24"/>
          <w:szCs w:val="24"/>
        </w:rPr>
        <w:t>”</w:t>
      </w:r>
      <w:r w:rsidRPr="006006AE">
        <w:rPr>
          <w:rFonts w:ascii="Bookman Old Style" w:hAnsi="Bookman Old Style"/>
          <w:sz w:val="24"/>
          <w:szCs w:val="24"/>
        </w:rPr>
        <w:t>. Questo dispositivo si affianca all’articolo 15 del dl 77/2021 che prevede una semplificazione dell’accertamento in bilancio delle risorse connesse con il PNRR, avvicinando così il processo di contabilizzazione in entrata e in spesa alle effettive esigenze di tempestiva attuazione delle misure.</w:t>
      </w:r>
    </w:p>
    <w:p w14:paraId="3AB86692" w14:textId="7EDA8D97" w:rsidR="00122E6C" w:rsidRDefault="00122E6C" w:rsidP="006006AE">
      <w:pPr>
        <w:pStyle w:val="Paragrafoelenco"/>
        <w:jc w:val="both"/>
        <w:rPr>
          <w:rFonts w:ascii="Bookman Old Style" w:hAnsi="Bookman Old Style"/>
          <w:sz w:val="24"/>
          <w:szCs w:val="24"/>
        </w:rPr>
      </w:pPr>
      <w:r w:rsidRPr="006006AE">
        <w:rPr>
          <w:rFonts w:ascii="Bookman Old Style" w:hAnsi="Bookman Old Style"/>
          <w:sz w:val="24"/>
          <w:szCs w:val="24"/>
        </w:rPr>
        <w:t xml:space="preserve">Su questi aspetti </w:t>
      </w:r>
      <w:r w:rsidRPr="006006AE">
        <w:rPr>
          <w:rFonts w:ascii="Bookman Old Style" w:hAnsi="Bookman Old Style"/>
          <w:b/>
          <w:bCs/>
          <w:sz w:val="24"/>
          <w:szCs w:val="24"/>
        </w:rPr>
        <w:t>sarà necessaria un’ampia pubblicizzazione</w:t>
      </w:r>
      <w:r w:rsidRPr="006006AE">
        <w:rPr>
          <w:rFonts w:ascii="Bookman Old Style" w:hAnsi="Bookman Old Style"/>
          <w:sz w:val="24"/>
          <w:szCs w:val="24"/>
        </w:rPr>
        <w:t xml:space="preserve"> presso gli enti locali unitamente all’emanazione di </w:t>
      </w:r>
      <w:r w:rsidRPr="006006AE">
        <w:rPr>
          <w:rFonts w:ascii="Bookman Old Style" w:hAnsi="Bookman Old Style"/>
          <w:b/>
          <w:bCs/>
          <w:sz w:val="24"/>
          <w:szCs w:val="24"/>
        </w:rPr>
        <w:t xml:space="preserve">linee guida condivise dal </w:t>
      </w:r>
      <w:proofErr w:type="spellStart"/>
      <w:r w:rsidRPr="006006AE">
        <w:rPr>
          <w:rFonts w:ascii="Bookman Old Style" w:hAnsi="Bookman Old Style"/>
          <w:b/>
          <w:bCs/>
          <w:sz w:val="24"/>
          <w:szCs w:val="24"/>
        </w:rPr>
        <w:t>Mef</w:t>
      </w:r>
      <w:proofErr w:type="spellEnd"/>
      <w:r w:rsidRPr="006006AE">
        <w:rPr>
          <w:rFonts w:ascii="Bookman Old Style" w:hAnsi="Bookman Old Style"/>
          <w:sz w:val="24"/>
          <w:szCs w:val="24"/>
        </w:rPr>
        <w:t xml:space="preserve">, così da </w:t>
      </w:r>
      <w:r w:rsidRPr="006006AE">
        <w:rPr>
          <w:rFonts w:ascii="Bookman Old Style" w:hAnsi="Bookman Old Style"/>
          <w:b/>
          <w:bCs/>
          <w:sz w:val="24"/>
          <w:szCs w:val="24"/>
        </w:rPr>
        <w:t>evitare il rischio di interpretazioni restrittive o incongrue</w:t>
      </w:r>
      <w:r w:rsidRPr="006006AE">
        <w:rPr>
          <w:rFonts w:ascii="Bookman Old Style" w:hAnsi="Bookman Old Style"/>
          <w:sz w:val="24"/>
          <w:szCs w:val="24"/>
        </w:rPr>
        <w:t xml:space="preserve"> rispetto agli obiettivi della realizzazione del PNRR</w:t>
      </w:r>
      <w:r w:rsidR="006910DC" w:rsidRPr="006006AE">
        <w:rPr>
          <w:rFonts w:ascii="Bookman Old Style" w:hAnsi="Bookman Old Style"/>
          <w:sz w:val="24"/>
          <w:szCs w:val="24"/>
        </w:rPr>
        <w:t>.</w:t>
      </w:r>
    </w:p>
    <w:p w14:paraId="023E58D4" w14:textId="77777777" w:rsidR="006006AE" w:rsidRDefault="006006AE" w:rsidP="006006AE">
      <w:pPr>
        <w:pStyle w:val="Paragrafoelenco"/>
        <w:jc w:val="both"/>
        <w:rPr>
          <w:rFonts w:ascii="Bookman Old Style" w:hAnsi="Bookman Old Style"/>
          <w:sz w:val="24"/>
          <w:szCs w:val="24"/>
        </w:rPr>
      </w:pPr>
    </w:p>
    <w:p w14:paraId="2176C322" w14:textId="7DE29412" w:rsidR="006006AE" w:rsidRPr="006006AE" w:rsidRDefault="006006AE" w:rsidP="006006AE">
      <w:pPr>
        <w:pStyle w:val="Paragrafoelenco"/>
        <w:jc w:val="both"/>
        <w:rPr>
          <w:rFonts w:ascii="Bookman Old Style" w:hAnsi="Bookman Old Style"/>
          <w:sz w:val="24"/>
          <w:szCs w:val="24"/>
        </w:rPr>
      </w:pPr>
      <w:r>
        <w:rPr>
          <w:rFonts w:ascii="Bookman Old Style" w:hAnsi="Bookman Old Style"/>
          <w:sz w:val="24"/>
          <w:szCs w:val="24"/>
        </w:rPr>
        <w:t xml:space="preserve">Più in generale </w:t>
      </w:r>
      <w:r w:rsidRPr="006006AE">
        <w:rPr>
          <w:rFonts w:ascii="Bookman Old Style" w:hAnsi="Bookman Old Style"/>
          <w:b/>
          <w:bCs/>
          <w:sz w:val="24"/>
          <w:szCs w:val="24"/>
        </w:rPr>
        <w:t>appare quanto mai opportuno generalizzare a tutti i progetti di investimento le semplificazioni che oggi tendono ad essere concesse per i soli interventi PNRR</w:t>
      </w:r>
      <w:r>
        <w:rPr>
          <w:rFonts w:ascii="Bookman Old Style" w:hAnsi="Bookman Old Style"/>
          <w:sz w:val="24"/>
          <w:szCs w:val="24"/>
        </w:rPr>
        <w:t>, con il risultato di complicare inutilmente il lavoro degli uffici tecnici e finanziari degli enti locali.</w:t>
      </w:r>
    </w:p>
    <w:p w14:paraId="4F43B5C5" w14:textId="77777777" w:rsidR="00122E6C" w:rsidRDefault="00122E6C" w:rsidP="00122E6C">
      <w:pPr>
        <w:jc w:val="both"/>
        <w:rPr>
          <w:i/>
          <w:iCs/>
        </w:rPr>
      </w:pPr>
      <w:r>
        <w:rPr>
          <w:i/>
          <w:iCs/>
        </w:rPr>
        <w:t>“</w:t>
      </w:r>
      <w:r w:rsidRPr="00A629A2">
        <w:rPr>
          <w:i/>
          <w:iCs/>
        </w:rPr>
        <w:t>6. Al fine di consentire il tempestivo avvio ed esecuzione dei progetti PNRR finanziati a valere su autorizzazioni di spesa del bilancio dello Stato, il Ministero dell’economia e delle finanze, nell’ambito delle disponibilità del conto corrente di tesoreria centrale «Ministero dell’economia e delle finanze - Attuazione del Next Generation EU-Italia - Contributi a fondo perduto», di cui all’articolo 1, comma 1038, della legge 30 dicembre 2020, n. 178, può disporre anticipazioni da destinare ai soggetti attuatori dei progetti, ivi compresi gli enti territoriali, sulla base di motivate richieste presentate dalle amministrazioni centrali titolari degli interventi PNRR. Per i soggetti attuatori, le anticipazioni di cui al presente comma costituiscono trasferimenti di risorse per la realizzazione tempestiva degli interventi PNRR.</w:t>
      </w:r>
      <w:r>
        <w:rPr>
          <w:i/>
          <w:iCs/>
        </w:rPr>
        <w:t>”</w:t>
      </w:r>
    </w:p>
    <w:p w14:paraId="2279B5B5" w14:textId="77777777" w:rsidR="006006AE" w:rsidRDefault="00122E6C" w:rsidP="006006AE">
      <w:pPr>
        <w:pStyle w:val="Paragrafoelenco"/>
        <w:numPr>
          <w:ilvl w:val="0"/>
          <w:numId w:val="2"/>
        </w:numPr>
        <w:ind w:left="709" w:hanging="425"/>
        <w:jc w:val="both"/>
        <w:rPr>
          <w:rFonts w:ascii="Bookman Old Style" w:hAnsi="Bookman Old Style"/>
          <w:sz w:val="24"/>
          <w:szCs w:val="24"/>
        </w:rPr>
      </w:pPr>
      <w:r w:rsidRPr="006006AE">
        <w:rPr>
          <w:rFonts w:ascii="Bookman Old Style" w:hAnsi="Bookman Old Style"/>
          <w:sz w:val="24"/>
          <w:szCs w:val="24"/>
        </w:rPr>
        <w:t xml:space="preserve">un accenno merita il percorso di definizione di un </w:t>
      </w:r>
      <w:r w:rsidRPr="006006AE">
        <w:rPr>
          <w:rFonts w:ascii="Bookman Old Style" w:hAnsi="Bookman Old Style"/>
          <w:b/>
          <w:bCs/>
          <w:sz w:val="24"/>
          <w:szCs w:val="24"/>
        </w:rPr>
        <w:t>sistema unico di contabilità economico patrimoniale</w:t>
      </w:r>
      <w:r w:rsidRPr="006006AE">
        <w:rPr>
          <w:rFonts w:ascii="Bookman Old Style" w:hAnsi="Bookman Old Style"/>
          <w:sz w:val="24"/>
          <w:szCs w:val="24"/>
        </w:rPr>
        <w:t xml:space="preserve"> (art. 9, co. 14) previsto dal PNRR (riforma 1.15). La norma inserita nel dl 152 prevede la condivisione dei nuovi principi di contabilità economico-patrimoniale presso </w:t>
      </w:r>
      <w:proofErr w:type="spellStart"/>
      <w:r w:rsidRPr="006006AE">
        <w:rPr>
          <w:rFonts w:ascii="Bookman Old Style" w:hAnsi="Bookman Old Style"/>
          <w:sz w:val="24"/>
          <w:szCs w:val="24"/>
        </w:rPr>
        <w:t>Arconet</w:t>
      </w:r>
      <w:proofErr w:type="spellEnd"/>
      <w:r w:rsidRPr="006006AE">
        <w:rPr>
          <w:rFonts w:ascii="Bookman Old Style" w:hAnsi="Bookman Old Style"/>
          <w:sz w:val="24"/>
          <w:szCs w:val="24"/>
        </w:rPr>
        <w:t xml:space="preserve">. L’ANCI ribadisce la necessità che il percorso di attivazione di tale riforma sia accompagnato da un’ampia sperimentazione e da un vero e proprio progetto di </w:t>
      </w:r>
      <w:r w:rsidRPr="006006AE">
        <w:rPr>
          <w:rFonts w:ascii="Bookman Old Style" w:hAnsi="Bookman Old Style"/>
          <w:i/>
          <w:iCs/>
          <w:sz w:val="24"/>
          <w:szCs w:val="24"/>
        </w:rPr>
        <w:t>empowerment</w:t>
      </w:r>
      <w:r w:rsidRPr="006006AE">
        <w:rPr>
          <w:rFonts w:ascii="Bookman Old Style" w:hAnsi="Bookman Old Style"/>
          <w:sz w:val="24"/>
          <w:szCs w:val="24"/>
        </w:rPr>
        <w:t xml:space="preserve"> degli uffici finanziari locali. Il coinvolgimento di </w:t>
      </w:r>
      <w:proofErr w:type="spellStart"/>
      <w:r w:rsidRPr="006006AE">
        <w:rPr>
          <w:rFonts w:ascii="Bookman Old Style" w:hAnsi="Bookman Old Style"/>
          <w:sz w:val="24"/>
          <w:szCs w:val="24"/>
        </w:rPr>
        <w:t>Arconet</w:t>
      </w:r>
      <w:proofErr w:type="spellEnd"/>
      <w:r w:rsidRPr="006006AE">
        <w:rPr>
          <w:rFonts w:ascii="Bookman Old Style" w:hAnsi="Bookman Old Style"/>
          <w:sz w:val="24"/>
          <w:szCs w:val="24"/>
        </w:rPr>
        <w:t xml:space="preserve"> è positivo, ma è assolutamente necessario assicurare:</w:t>
      </w:r>
    </w:p>
    <w:p w14:paraId="2A60BE55" w14:textId="77777777" w:rsidR="006006AE" w:rsidRDefault="00122E6C" w:rsidP="006006AE">
      <w:pPr>
        <w:pStyle w:val="Paragrafoelenco"/>
        <w:jc w:val="both"/>
        <w:rPr>
          <w:rFonts w:ascii="Bookman Old Style" w:hAnsi="Bookman Old Style"/>
          <w:sz w:val="24"/>
          <w:szCs w:val="24"/>
        </w:rPr>
      </w:pPr>
      <w:r w:rsidRPr="006006AE">
        <w:rPr>
          <w:rFonts w:ascii="Bookman Old Style" w:hAnsi="Bookman Old Style"/>
          <w:sz w:val="24"/>
          <w:szCs w:val="24"/>
        </w:rPr>
        <w:t xml:space="preserve">-  una </w:t>
      </w:r>
      <w:r w:rsidRPr="006006AE">
        <w:rPr>
          <w:rFonts w:ascii="Bookman Old Style" w:hAnsi="Bookman Old Style"/>
          <w:b/>
          <w:bCs/>
          <w:sz w:val="24"/>
          <w:szCs w:val="24"/>
        </w:rPr>
        <w:t>partecipazione più strutturata dei Comuni e degli enti locali nella fase ascendente della definizione della riforma</w:t>
      </w:r>
      <w:r w:rsidRPr="006006AE">
        <w:rPr>
          <w:rFonts w:ascii="Bookman Old Style" w:hAnsi="Bookman Old Style"/>
          <w:sz w:val="24"/>
          <w:szCs w:val="24"/>
        </w:rPr>
        <w:t xml:space="preserve"> attraverso modalità di più diretta interlocuzione sui nuovi principi contabili che valorizzino l’esperienza maturata con la realizzazione della recente riforma della contabilità (d.lgs. 118/2011)</w:t>
      </w:r>
    </w:p>
    <w:p w14:paraId="2BDF0C71" w14:textId="5940EA13" w:rsidR="00122E6C" w:rsidRPr="006006AE" w:rsidRDefault="00122E6C" w:rsidP="006006AE">
      <w:pPr>
        <w:pStyle w:val="Paragrafoelenco"/>
        <w:jc w:val="both"/>
        <w:rPr>
          <w:rFonts w:ascii="Bookman Old Style" w:hAnsi="Bookman Old Style"/>
          <w:sz w:val="24"/>
          <w:szCs w:val="24"/>
        </w:rPr>
      </w:pPr>
      <w:r w:rsidRPr="006006AE">
        <w:rPr>
          <w:rFonts w:ascii="Bookman Old Style" w:hAnsi="Bookman Old Style"/>
          <w:sz w:val="24"/>
          <w:szCs w:val="24"/>
        </w:rPr>
        <w:t xml:space="preserve">- la </w:t>
      </w:r>
      <w:r w:rsidRPr="006006AE">
        <w:rPr>
          <w:rFonts w:ascii="Bookman Old Style" w:hAnsi="Bookman Old Style"/>
          <w:b/>
          <w:bCs/>
          <w:sz w:val="24"/>
          <w:szCs w:val="24"/>
        </w:rPr>
        <w:t>conferma della non applicazione della contabilità economico-patrimoniale per i Comuni fino a 5mila abitanti</w:t>
      </w:r>
      <w:r w:rsidRPr="006006AE">
        <w:rPr>
          <w:rFonts w:ascii="Bookman Old Style" w:hAnsi="Bookman Old Style"/>
          <w:sz w:val="24"/>
          <w:szCs w:val="24"/>
        </w:rPr>
        <w:t>.</w:t>
      </w:r>
    </w:p>
    <w:p w14:paraId="127AAF3E"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b/>
          <w:bCs/>
          <w:sz w:val="24"/>
          <w:szCs w:val="24"/>
        </w:rPr>
        <w:t>Il tema del personale</w:t>
      </w:r>
      <w:r w:rsidRPr="0036239B">
        <w:rPr>
          <w:rFonts w:ascii="Bookman Old Style" w:hAnsi="Bookman Old Style"/>
          <w:sz w:val="24"/>
          <w:szCs w:val="24"/>
        </w:rPr>
        <w:t xml:space="preserve"> e delle risorse professionali utilizzabili per l’attuazione del PNRR è centrale nella attuale fase di avvio del Piano. </w:t>
      </w:r>
    </w:p>
    <w:p w14:paraId="07A18637"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Come più volte ribadito da</w:t>
      </w:r>
      <w:r>
        <w:rPr>
          <w:rFonts w:ascii="Bookman Old Style" w:hAnsi="Bookman Old Style"/>
          <w:sz w:val="24"/>
          <w:szCs w:val="24"/>
        </w:rPr>
        <w:t>ll’ANCI</w:t>
      </w:r>
      <w:r w:rsidRPr="0036239B">
        <w:rPr>
          <w:rFonts w:ascii="Bookman Old Style" w:hAnsi="Bookman Old Style"/>
          <w:sz w:val="24"/>
          <w:szCs w:val="24"/>
        </w:rPr>
        <w:t xml:space="preserve">, il drastico taglio di unità di personale, passato da circa 479.233 unità a 361.745, con una riduzione dunque del 25%, imponeva </w:t>
      </w:r>
      <w:r w:rsidRPr="0036239B">
        <w:rPr>
          <w:rFonts w:ascii="Bookman Old Style" w:hAnsi="Bookman Old Style"/>
          <w:sz w:val="24"/>
          <w:szCs w:val="24"/>
        </w:rPr>
        <w:lastRenderedPageBreak/>
        <w:t xml:space="preserve">già prima della straordinarietà del momento, dettato dalla necessità di spendere immediatamente e bene le risorse europee, di individuare modalità semplificate per il reclutamento e assunzioni straordinarie. </w:t>
      </w:r>
    </w:p>
    <w:p w14:paraId="5AA6914B"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Positivo</w:t>
      </w:r>
      <w:r>
        <w:rPr>
          <w:rFonts w:ascii="Bookman Old Style" w:hAnsi="Bookman Old Style"/>
          <w:sz w:val="24"/>
          <w:szCs w:val="24"/>
        </w:rPr>
        <w:t>,</w:t>
      </w:r>
      <w:r w:rsidRPr="0036239B">
        <w:rPr>
          <w:rFonts w:ascii="Bookman Old Style" w:hAnsi="Bookman Old Style"/>
          <w:sz w:val="24"/>
          <w:szCs w:val="24"/>
        </w:rPr>
        <w:t xml:space="preserve"> dunque</w:t>
      </w:r>
      <w:r>
        <w:rPr>
          <w:rFonts w:ascii="Bookman Old Style" w:hAnsi="Bookman Old Style"/>
          <w:sz w:val="24"/>
          <w:szCs w:val="24"/>
        </w:rPr>
        <w:t>,</w:t>
      </w:r>
      <w:r w:rsidRPr="0036239B">
        <w:rPr>
          <w:rFonts w:ascii="Bookman Old Style" w:hAnsi="Bookman Old Style"/>
          <w:sz w:val="24"/>
          <w:szCs w:val="24"/>
        </w:rPr>
        <w:t xml:space="preserve"> è stato il giudizio sul dl 80/2021</w:t>
      </w:r>
      <w:r>
        <w:rPr>
          <w:rFonts w:ascii="Bookman Old Style" w:hAnsi="Bookman Old Style"/>
          <w:sz w:val="24"/>
          <w:szCs w:val="24"/>
        </w:rPr>
        <w:t xml:space="preserve"> - </w:t>
      </w:r>
      <w:r w:rsidRPr="0036239B">
        <w:rPr>
          <w:rFonts w:ascii="Bookman Old Style" w:hAnsi="Bookman Old Style"/>
          <w:sz w:val="24"/>
          <w:szCs w:val="24"/>
        </w:rPr>
        <w:t>ed in particolare sulle norme di reclutamento straordinario di elevate professionalità a tempo determinato e di conferimento di incarichi a professionisti (articolo 1), nonché su quelle relative agli incarichi di collaborazione con esperti per la semplificazione di procedure complesse (articolo 9)</w:t>
      </w:r>
    </w:p>
    <w:p w14:paraId="4320D59E"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b/>
          <w:bCs/>
          <w:sz w:val="24"/>
          <w:szCs w:val="24"/>
        </w:rPr>
        <w:t>Su tal</w:t>
      </w:r>
      <w:r>
        <w:rPr>
          <w:rFonts w:ascii="Bookman Old Style" w:hAnsi="Bookman Old Style"/>
          <w:b/>
          <w:bCs/>
          <w:sz w:val="24"/>
          <w:szCs w:val="24"/>
        </w:rPr>
        <w:t xml:space="preserve">e </w:t>
      </w:r>
      <w:r w:rsidRPr="0036239B">
        <w:rPr>
          <w:rFonts w:ascii="Bookman Old Style" w:hAnsi="Bookman Old Style"/>
          <w:b/>
          <w:bCs/>
          <w:sz w:val="24"/>
          <w:szCs w:val="24"/>
        </w:rPr>
        <w:t>ultimo articolo del DL 80 interviene l'articolo 31 del decreto in esame</w:t>
      </w:r>
      <w:r w:rsidRPr="0036239B">
        <w:rPr>
          <w:rFonts w:ascii="Bookman Old Style" w:hAnsi="Bookman Old Style"/>
          <w:sz w:val="24"/>
          <w:szCs w:val="24"/>
        </w:rPr>
        <w:t>. In particolare</w:t>
      </w:r>
      <w:r>
        <w:rPr>
          <w:rFonts w:ascii="Bookman Old Style" w:hAnsi="Bookman Old Style"/>
          <w:sz w:val="24"/>
          <w:szCs w:val="24"/>
        </w:rPr>
        <w:t>,</w:t>
      </w:r>
      <w:r w:rsidRPr="0036239B">
        <w:rPr>
          <w:rFonts w:ascii="Bookman Old Style" w:hAnsi="Bookman Old Style"/>
          <w:sz w:val="24"/>
          <w:szCs w:val="24"/>
        </w:rPr>
        <w:t xml:space="preserve"> viene ampliato il numero di esperti cui conferire tali incarichi professionali per </w:t>
      </w:r>
      <w:r>
        <w:rPr>
          <w:rFonts w:ascii="Bookman Old Style" w:hAnsi="Bookman Old Style"/>
          <w:sz w:val="24"/>
          <w:szCs w:val="24"/>
        </w:rPr>
        <w:t>i</w:t>
      </w:r>
      <w:r w:rsidRPr="0036239B">
        <w:rPr>
          <w:rFonts w:ascii="Bookman Old Style" w:hAnsi="Bookman Old Style"/>
          <w:sz w:val="24"/>
          <w:szCs w:val="24"/>
        </w:rPr>
        <w:t xml:space="preserve">l supporto nella gestione delle procedure complesse.  Il giudizio di Anci su tale misura non può che essere positivo. </w:t>
      </w:r>
    </w:p>
    <w:p w14:paraId="5DAFF366"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 xml:space="preserve">Tuttavia, </w:t>
      </w:r>
      <w:r w:rsidRPr="00A602DD">
        <w:rPr>
          <w:rFonts w:ascii="Bookman Old Style" w:hAnsi="Bookman Old Style"/>
          <w:b/>
          <w:bCs/>
          <w:sz w:val="24"/>
          <w:szCs w:val="24"/>
        </w:rPr>
        <w:t>si deve rilevare che il provvedimento non interviene su un aspetto cruciale</w:t>
      </w:r>
      <w:r w:rsidRPr="0036239B">
        <w:rPr>
          <w:rFonts w:ascii="Bookman Old Style" w:hAnsi="Bookman Old Style"/>
          <w:sz w:val="24"/>
          <w:szCs w:val="24"/>
        </w:rPr>
        <w:t xml:space="preserve">: la semplificazione dell’accesso per i Comuni alle forme e modalità di reclutamento previste dal succitato articolo </w:t>
      </w:r>
      <w:r>
        <w:rPr>
          <w:rFonts w:ascii="Bookman Old Style" w:hAnsi="Bookman Old Style"/>
          <w:sz w:val="24"/>
          <w:szCs w:val="24"/>
        </w:rPr>
        <w:t>9</w:t>
      </w:r>
      <w:r w:rsidRPr="0036239B">
        <w:rPr>
          <w:rFonts w:ascii="Bookman Old Style" w:hAnsi="Bookman Old Style"/>
          <w:sz w:val="24"/>
          <w:szCs w:val="24"/>
        </w:rPr>
        <w:t xml:space="preserve"> del DL 80/2021. </w:t>
      </w:r>
    </w:p>
    <w:p w14:paraId="42198A90" w14:textId="77777777" w:rsidR="00122E6C" w:rsidRDefault="00122E6C" w:rsidP="00122E6C">
      <w:pPr>
        <w:jc w:val="both"/>
        <w:rPr>
          <w:rFonts w:ascii="Bookman Old Style" w:hAnsi="Bookman Old Style"/>
          <w:sz w:val="24"/>
          <w:szCs w:val="24"/>
        </w:rPr>
      </w:pPr>
      <w:r w:rsidRPr="0036239B">
        <w:rPr>
          <w:rFonts w:ascii="Bookman Old Style" w:hAnsi="Bookman Old Style"/>
          <w:sz w:val="24"/>
          <w:szCs w:val="24"/>
        </w:rPr>
        <w:t xml:space="preserve">In particolare, tenuto conto che i Comuni e le Città Metropolitane sono da considerarsi </w:t>
      </w:r>
      <w:r w:rsidRPr="0036239B">
        <w:rPr>
          <w:rFonts w:ascii="Bookman Old Style" w:hAnsi="Bookman Old Style"/>
          <w:b/>
          <w:bCs/>
          <w:i/>
          <w:iCs/>
          <w:sz w:val="24"/>
          <w:szCs w:val="24"/>
        </w:rPr>
        <w:t xml:space="preserve">soggetti titolari di interventi previsti nel </w:t>
      </w:r>
      <w:proofErr w:type="spellStart"/>
      <w:r w:rsidRPr="0036239B">
        <w:rPr>
          <w:rFonts w:ascii="Bookman Old Style" w:hAnsi="Bookman Old Style"/>
          <w:b/>
          <w:bCs/>
          <w:i/>
          <w:iCs/>
          <w:sz w:val="24"/>
          <w:szCs w:val="24"/>
        </w:rPr>
        <w:t>Pnrr</w:t>
      </w:r>
      <w:proofErr w:type="spellEnd"/>
      <w:r w:rsidRPr="0036239B">
        <w:rPr>
          <w:rFonts w:ascii="Bookman Old Style" w:hAnsi="Bookman Old Style"/>
          <w:sz w:val="24"/>
          <w:szCs w:val="24"/>
        </w:rPr>
        <w:t xml:space="preserve"> (cit. articolo 1 comma 1 del 80/2021), </w:t>
      </w:r>
      <w:r w:rsidRPr="00A602DD">
        <w:rPr>
          <w:rFonts w:ascii="Bookman Old Style" w:hAnsi="Bookman Old Style"/>
          <w:b/>
          <w:bCs/>
          <w:sz w:val="24"/>
          <w:szCs w:val="24"/>
        </w:rPr>
        <w:t>Anci ritiene non coerente con la ratio di accelerazione di realizzazione degli investimenti, la procedura autorizzatoria vigente</w:t>
      </w:r>
      <w:r w:rsidRPr="0036239B">
        <w:rPr>
          <w:rFonts w:ascii="Bookman Old Style" w:hAnsi="Bookman Old Style"/>
          <w:sz w:val="24"/>
          <w:szCs w:val="24"/>
        </w:rPr>
        <w:t xml:space="preserve"> che prevede che sia obbligatorio, prima di procedere ad assunzioni necessarie all’attuazione degli investimenti finanziati con le risorse del </w:t>
      </w:r>
      <w:proofErr w:type="spellStart"/>
      <w:r w:rsidRPr="0036239B">
        <w:rPr>
          <w:rFonts w:ascii="Bookman Old Style" w:hAnsi="Bookman Old Style"/>
          <w:sz w:val="24"/>
          <w:szCs w:val="24"/>
        </w:rPr>
        <w:t>Pnrr</w:t>
      </w:r>
      <w:proofErr w:type="spellEnd"/>
      <w:r w:rsidRPr="0036239B">
        <w:rPr>
          <w:rFonts w:ascii="Bookman Old Style" w:hAnsi="Bookman Old Style"/>
          <w:sz w:val="24"/>
          <w:szCs w:val="24"/>
        </w:rPr>
        <w:t xml:space="preserve">, inserire la previsione del relativo costo nel quadro economico dell’intervento e, successivamente, richiedere l’autorizzazione dell’Amministrazione centrale competente </w:t>
      </w:r>
      <w:r>
        <w:rPr>
          <w:rFonts w:ascii="Bookman Old Style" w:hAnsi="Bookman Old Style"/>
          <w:sz w:val="24"/>
          <w:szCs w:val="24"/>
        </w:rPr>
        <w:t xml:space="preserve">che a sua volta deve attendere </w:t>
      </w:r>
      <w:r w:rsidRPr="0036239B">
        <w:rPr>
          <w:rFonts w:ascii="Bookman Old Style" w:hAnsi="Bookman Old Style"/>
          <w:sz w:val="24"/>
          <w:szCs w:val="24"/>
        </w:rPr>
        <w:t xml:space="preserve">il nulla osta della Ragioneria Generale dello Stato. </w:t>
      </w:r>
    </w:p>
    <w:p w14:paraId="68E58F7A" w14:textId="77777777" w:rsidR="00122E6C" w:rsidRPr="0036239B" w:rsidRDefault="00122E6C" w:rsidP="00122E6C">
      <w:pPr>
        <w:jc w:val="both"/>
        <w:rPr>
          <w:rFonts w:ascii="Bookman Old Style" w:hAnsi="Bookman Old Style"/>
          <w:sz w:val="24"/>
          <w:szCs w:val="24"/>
        </w:rPr>
      </w:pPr>
      <w:r w:rsidRPr="0036239B">
        <w:rPr>
          <w:rFonts w:ascii="Bookman Old Style" w:hAnsi="Bookman Old Style"/>
          <w:sz w:val="24"/>
          <w:szCs w:val="24"/>
        </w:rPr>
        <w:t xml:space="preserve">Questa doppia verifica è destinata ovviamente a </w:t>
      </w:r>
      <w:r w:rsidRPr="00A602DD">
        <w:rPr>
          <w:rFonts w:ascii="Bookman Old Style" w:hAnsi="Bookman Old Style"/>
          <w:b/>
          <w:bCs/>
          <w:sz w:val="24"/>
          <w:szCs w:val="24"/>
        </w:rPr>
        <w:t>rallentare la procedura</w:t>
      </w:r>
      <w:r w:rsidRPr="0036239B">
        <w:rPr>
          <w:rFonts w:ascii="Bookman Old Style" w:hAnsi="Bookman Old Style"/>
          <w:sz w:val="24"/>
          <w:szCs w:val="24"/>
        </w:rPr>
        <w:t xml:space="preserve"> </w:t>
      </w:r>
      <w:r w:rsidRPr="00A602DD">
        <w:rPr>
          <w:rFonts w:ascii="Bookman Old Style" w:hAnsi="Bookman Old Style"/>
          <w:b/>
          <w:bCs/>
          <w:sz w:val="24"/>
          <w:szCs w:val="24"/>
        </w:rPr>
        <w:t>di spesa</w:t>
      </w:r>
      <w:r w:rsidRPr="0036239B">
        <w:rPr>
          <w:rFonts w:ascii="Bookman Old Style" w:hAnsi="Bookman Old Style"/>
          <w:sz w:val="24"/>
          <w:szCs w:val="24"/>
        </w:rPr>
        <w:t xml:space="preserve"> delle risorse necessarie sia alle assunzioni di personale che, di conseguenza, alla realizzazione dello stesso investimento</w:t>
      </w:r>
      <w:r>
        <w:rPr>
          <w:rFonts w:ascii="Bookman Old Style" w:hAnsi="Bookman Old Style"/>
          <w:sz w:val="24"/>
          <w:szCs w:val="24"/>
        </w:rPr>
        <w:t xml:space="preserve"> e rischia di </w:t>
      </w:r>
      <w:r w:rsidRPr="00A602DD">
        <w:rPr>
          <w:rFonts w:ascii="Bookman Old Style" w:hAnsi="Bookman Old Style"/>
          <w:b/>
          <w:bCs/>
          <w:sz w:val="24"/>
          <w:szCs w:val="24"/>
        </w:rPr>
        <w:t>essere del tutto inefficace nei casi di una pluralità di investimenti di dimensione media e piccola</w:t>
      </w:r>
      <w:r w:rsidRPr="0036239B">
        <w:rPr>
          <w:rFonts w:ascii="Bookman Old Style" w:hAnsi="Bookman Old Style"/>
          <w:sz w:val="24"/>
          <w:szCs w:val="24"/>
        </w:rPr>
        <w:t xml:space="preserve">. </w:t>
      </w:r>
    </w:p>
    <w:p w14:paraId="36FAA03D" w14:textId="55F2F9BD" w:rsidR="00122E6C" w:rsidRPr="00122E6C" w:rsidRDefault="00122E6C" w:rsidP="00122E6C">
      <w:pPr>
        <w:jc w:val="both"/>
        <w:rPr>
          <w:rFonts w:ascii="Bookman Old Style" w:hAnsi="Bookman Old Style" w:cs="Bookman Old Style"/>
          <w:color w:val="000000"/>
        </w:rPr>
      </w:pPr>
      <w:r w:rsidRPr="0036239B">
        <w:rPr>
          <w:rFonts w:ascii="Bookman Old Style" w:hAnsi="Bookman Old Style"/>
          <w:sz w:val="24"/>
          <w:szCs w:val="24"/>
        </w:rPr>
        <w:t xml:space="preserve">Per questo, Anci propone un correttivo che consenta </w:t>
      </w:r>
      <w:r>
        <w:rPr>
          <w:rFonts w:ascii="Bookman Old Style" w:hAnsi="Bookman Old Style"/>
          <w:sz w:val="24"/>
          <w:szCs w:val="24"/>
        </w:rPr>
        <w:t>agli enti locali, singoli e associati</w:t>
      </w:r>
      <w:r w:rsidRPr="0036239B">
        <w:rPr>
          <w:rFonts w:ascii="Bookman Old Style" w:hAnsi="Bookman Old Style"/>
          <w:sz w:val="24"/>
          <w:szCs w:val="24"/>
        </w:rPr>
        <w:t xml:space="preserve">, di derogare alla procedura autorizzatoria per le assunzioni ed il conferimento degli incarichi di cui sopra, nel limite del 5% dell’importo complessivo dell'investimento, ponendo i relativi costi a carico del </w:t>
      </w:r>
      <w:proofErr w:type="spellStart"/>
      <w:r w:rsidRPr="0036239B">
        <w:rPr>
          <w:rFonts w:ascii="Bookman Old Style" w:hAnsi="Bookman Old Style"/>
          <w:sz w:val="24"/>
          <w:szCs w:val="24"/>
        </w:rPr>
        <w:t>Pnrr</w:t>
      </w:r>
      <w:proofErr w:type="spellEnd"/>
      <w:r w:rsidRPr="0036239B">
        <w:rPr>
          <w:rFonts w:ascii="Bookman Old Style" w:hAnsi="Bookman Old Style"/>
          <w:sz w:val="24"/>
          <w:szCs w:val="24"/>
        </w:rPr>
        <w:t xml:space="preserve"> e inserendoli nel quadro </w:t>
      </w:r>
      <w:r w:rsidR="00A0664C" w:rsidRPr="0036239B">
        <w:rPr>
          <w:rFonts w:ascii="Bookman Old Style" w:hAnsi="Bookman Old Style"/>
          <w:sz w:val="24"/>
          <w:szCs w:val="24"/>
        </w:rPr>
        <w:t>economico dell’intervento finanziato.</w:t>
      </w:r>
    </w:p>
    <w:p w14:paraId="0BBC243F" w14:textId="77777777" w:rsidR="00122E6C" w:rsidRPr="00122E6C" w:rsidRDefault="00122E6C" w:rsidP="00122E6C">
      <w:pPr>
        <w:pStyle w:val="Default"/>
        <w:jc w:val="center"/>
        <w:rPr>
          <w:i/>
          <w:iCs/>
          <w:sz w:val="22"/>
          <w:szCs w:val="22"/>
        </w:rPr>
      </w:pPr>
    </w:p>
    <w:sectPr w:rsidR="00122E6C" w:rsidRPr="00122E6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B121" w14:textId="77777777" w:rsidR="00557AF4" w:rsidRDefault="00557AF4" w:rsidP="00122E6C">
      <w:pPr>
        <w:spacing w:after="0" w:line="240" w:lineRule="auto"/>
      </w:pPr>
      <w:r>
        <w:separator/>
      </w:r>
    </w:p>
  </w:endnote>
  <w:endnote w:type="continuationSeparator" w:id="0">
    <w:p w14:paraId="35E0C4EF" w14:textId="77777777" w:rsidR="00557AF4" w:rsidRDefault="00557AF4" w:rsidP="0012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6314"/>
      <w:docPartObj>
        <w:docPartGallery w:val="Page Numbers (Bottom of Page)"/>
        <w:docPartUnique/>
      </w:docPartObj>
    </w:sdtPr>
    <w:sdtEndPr/>
    <w:sdtContent>
      <w:p w14:paraId="30E5894E" w14:textId="28F9C178" w:rsidR="00122E6C" w:rsidRDefault="00122E6C">
        <w:pPr>
          <w:pStyle w:val="Pidipagina"/>
          <w:jc w:val="right"/>
        </w:pPr>
        <w:r>
          <w:fldChar w:fldCharType="begin"/>
        </w:r>
        <w:r>
          <w:instrText>PAGE   \* MERGEFORMAT</w:instrText>
        </w:r>
        <w:r>
          <w:fldChar w:fldCharType="separate"/>
        </w:r>
        <w:r>
          <w:t>2</w:t>
        </w:r>
        <w:r>
          <w:fldChar w:fldCharType="end"/>
        </w:r>
      </w:p>
    </w:sdtContent>
  </w:sdt>
  <w:p w14:paraId="31B013B3" w14:textId="77777777" w:rsidR="00122E6C" w:rsidRDefault="00122E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D5F1" w14:textId="77777777" w:rsidR="00557AF4" w:rsidRDefault="00557AF4" w:rsidP="00122E6C">
      <w:pPr>
        <w:spacing w:after="0" w:line="240" w:lineRule="auto"/>
      </w:pPr>
      <w:r>
        <w:separator/>
      </w:r>
    </w:p>
  </w:footnote>
  <w:footnote w:type="continuationSeparator" w:id="0">
    <w:p w14:paraId="6070B469" w14:textId="77777777" w:rsidR="00557AF4" w:rsidRDefault="00557AF4" w:rsidP="00122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727"/>
    <w:multiLevelType w:val="hybridMultilevel"/>
    <w:tmpl w:val="279E1BCA"/>
    <w:lvl w:ilvl="0" w:tplc="B42695A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CFA5FA8"/>
    <w:multiLevelType w:val="hybridMultilevel"/>
    <w:tmpl w:val="F4F2B15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880E0D"/>
    <w:multiLevelType w:val="hybridMultilevel"/>
    <w:tmpl w:val="EBA6F0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6C"/>
    <w:rsid w:val="00122E6C"/>
    <w:rsid w:val="003E3998"/>
    <w:rsid w:val="0043691E"/>
    <w:rsid w:val="00557AF4"/>
    <w:rsid w:val="005B5552"/>
    <w:rsid w:val="006006AE"/>
    <w:rsid w:val="00625992"/>
    <w:rsid w:val="00655117"/>
    <w:rsid w:val="006910DC"/>
    <w:rsid w:val="00834529"/>
    <w:rsid w:val="00902C3C"/>
    <w:rsid w:val="00A0664C"/>
    <w:rsid w:val="00B3218C"/>
    <w:rsid w:val="00C86ACF"/>
    <w:rsid w:val="00E10186"/>
    <w:rsid w:val="00FB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0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2E6C"/>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agrafoelenco">
    <w:name w:val="List Paragraph"/>
    <w:basedOn w:val="Normale"/>
    <w:uiPriority w:val="34"/>
    <w:qFormat/>
    <w:rsid w:val="00122E6C"/>
    <w:pPr>
      <w:ind w:left="720"/>
      <w:contextualSpacing/>
    </w:pPr>
  </w:style>
  <w:style w:type="paragraph" w:styleId="Intestazione">
    <w:name w:val="header"/>
    <w:basedOn w:val="Normale"/>
    <w:link w:val="IntestazioneCarattere"/>
    <w:uiPriority w:val="99"/>
    <w:unhideWhenUsed/>
    <w:rsid w:val="00122E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2E6C"/>
  </w:style>
  <w:style w:type="paragraph" w:styleId="Pidipagina">
    <w:name w:val="footer"/>
    <w:basedOn w:val="Normale"/>
    <w:link w:val="PidipaginaCarattere"/>
    <w:uiPriority w:val="99"/>
    <w:unhideWhenUsed/>
    <w:rsid w:val="00122E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10232</Characters>
  <Application>Microsoft Office Word</Application>
  <DocSecurity>0</DocSecurity>
  <Lines>85</Lines>
  <Paragraphs>24</Paragraphs>
  <ScaleCrop>false</ScaleCrop>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2021-11-12T16:14:00Z</dcterms:created>
  <dcterms:modified xsi:type="dcterms:W3CDTF">2021-11-12T16:14:00Z</dcterms:modified>
</cp:coreProperties>
</file>