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EA810" w14:textId="77777777" w:rsidR="00706E93" w:rsidRDefault="0039720F" w:rsidP="002337D1">
      <w:pPr>
        <w:tabs>
          <w:tab w:val="left" w:pos="8931"/>
        </w:tabs>
        <w:spacing w:after="120"/>
        <w:jc w:val="both"/>
        <w:rPr>
          <w:rFonts w:ascii="Bookman Old Style" w:hAnsi="Bookman Old Style"/>
        </w:rPr>
      </w:pPr>
      <w:r>
        <w:rPr>
          <w:rFonts w:ascii="Georgia" w:hAnsi="Georgia"/>
          <w:noProof/>
          <w:lang w:val="fr-FR" w:eastAsia="fr-FR"/>
        </w:rPr>
        <w:drawing>
          <wp:anchor distT="0" distB="0" distL="114300" distR="114300" simplePos="0" relativeHeight="251659264" behindDoc="1" locked="0" layoutInCell="1" allowOverlap="1" wp14:anchorId="37546693" wp14:editId="3BEFF709">
            <wp:simplePos x="0" y="0"/>
            <wp:positionH relativeFrom="margin">
              <wp:posOffset>2794635</wp:posOffset>
            </wp:positionH>
            <wp:positionV relativeFrom="paragraph">
              <wp:posOffset>0</wp:posOffset>
            </wp:positionV>
            <wp:extent cx="806450" cy="1076325"/>
            <wp:effectExtent l="0" t="0" r="0" b="9525"/>
            <wp:wrapThrough wrapText="bothSides">
              <wp:wrapPolygon edited="0">
                <wp:start x="0" y="0"/>
                <wp:lineTo x="0" y="21409"/>
                <wp:lineTo x="20920" y="21409"/>
                <wp:lineTo x="20920" y="0"/>
                <wp:lineTo x="0" y="0"/>
              </wp:wrapPolygon>
            </wp:wrapThrough>
            <wp:docPr id="1" name="Immagine 1" descr="logo anci dor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anci dora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6450" cy="1076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A25ECD" w14:textId="77777777" w:rsidR="00706E93" w:rsidRDefault="00706E93" w:rsidP="00752224">
      <w:pPr>
        <w:spacing w:after="120"/>
        <w:jc w:val="center"/>
        <w:rPr>
          <w:rFonts w:ascii="Bookman Old Style" w:hAnsi="Bookman Old Style"/>
          <w:b/>
          <w:sz w:val="24"/>
          <w:szCs w:val="24"/>
        </w:rPr>
      </w:pPr>
    </w:p>
    <w:p w14:paraId="201BDB61" w14:textId="77777777" w:rsidR="00706E93" w:rsidRDefault="00706E93" w:rsidP="00752224">
      <w:pPr>
        <w:spacing w:after="120"/>
        <w:jc w:val="center"/>
        <w:rPr>
          <w:rFonts w:ascii="Bookman Old Style" w:hAnsi="Bookman Old Style"/>
          <w:b/>
          <w:sz w:val="24"/>
          <w:szCs w:val="24"/>
        </w:rPr>
      </w:pPr>
    </w:p>
    <w:p w14:paraId="67BBEA48" w14:textId="77777777" w:rsidR="00706E93" w:rsidRDefault="00706E93" w:rsidP="00752224">
      <w:pPr>
        <w:spacing w:after="120"/>
        <w:jc w:val="center"/>
        <w:rPr>
          <w:rFonts w:ascii="Bookman Old Style" w:hAnsi="Bookman Old Style"/>
          <w:b/>
          <w:sz w:val="24"/>
          <w:szCs w:val="24"/>
        </w:rPr>
      </w:pPr>
    </w:p>
    <w:p w14:paraId="2F17C864" w14:textId="77777777" w:rsidR="00706E93" w:rsidRDefault="00706E93" w:rsidP="00752224">
      <w:pPr>
        <w:spacing w:after="120"/>
        <w:jc w:val="center"/>
        <w:rPr>
          <w:rFonts w:ascii="Bookman Old Style" w:hAnsi="Bookman Old Style"/>
          <w:b/>
          <w:sz w:val="24"/>
          <w:szCs w:val="24"/>
        </w:rPr>
      </w:pPr>
    </w:p>
    <w:p w14:paraId="3E6F5DF3" w14:textId="2D1C42A5" w:rsidR="00706E93" w:rsidRDefault="00706E93" w:rsidP="00752224">
      <w:pPr>
        <w:spacing w:after="120"/>
        <w:jc w:val="center"/>
        <w:rPr>
          <w:rFonts w:ascii="Bookman Old Style" w:hAnsi="Bookman Old Style"/>
          <w:b/>
          <w:sz w:val="24"/>
          <w:szCs w:val="24"/>
        </w:rPr>
      </w:pPr>
    </w:p>
    <w:p w14:paraId="3035755B" w14:textId="0DE3ED7E" w:rsidR="003840AA" w:rsidRDefault="003840AA" w:rsidP="00752224">
      <w:pPr>
        <w:spacing w:after="120"/>
        <w:jc w:val="center"/>
        <w:rPr>
          <w:rFonts w:ascii="Bookman Old Style" w:hAnsi="Bookman Old Style"/>
          <w:b/>
          <w:sz w:val="24"/>
          <w:szCs w:val="24"/>
        </w:rPr>
      </w:pPr>
    </w:p>
    <w:p w14:paraId="26A71E68" w14:textId="77777777" w:rsidR="003840AA" w:rsidRPr="00214CA9" w:rsidRDefault="003840AA" w:rsidP="003840AA">
      <w:pPr>
        <w:spacing w:after="120"/>
        <w:jc w:val="center"/>
        <w:rPr>
          <w:rFonts w:ascii="Bookman Old Style" w:hAnsi="Bookman Old Style"/>
          <w:b/>
          <w:color w:val="2E74B5" w:themeColor="accent1" w:themeShade="BF"/>
          <w:sz w:val="24"/>
          <w:szCs w:val="24"/>
        </w:rPr>
      </w:pPr>
      <w:r w:rsidRPr="00214CA9">
        <w:rPr>
          <w:rFonts w:ascii="Bookman Old Style" w:hAnsi="Bookman Old Style"/>
          <w:b/>
          <w:color w:val="2E74B5" w:themeColor="accent1" w:themeShade="BF"/>
          <w:sz w:val="24"/>
          <w:szCs w:val="24"/>
        </w:rPr>
        <w:t>AUDIZIONE ANCI</w:t>
      </w:r>
    </w:p>
    <w:p w14:paraId="7C1AAE8C" w14:textId="77777777" w:rsidR="003840AA" w:rsidRDefault="003840AA" w:rsidP="00752224">
      <w:pPr>
        <w:spacing w:after="120"/>
        <w:jc w:val="center"/>
        <w:rPr>
          <w:rFonts w:ascii="Bookman Old Style" w:hAnsi="Bookman Old Style"/>
          <w:b/>
          <w:sz w:val="24"/>
          <w:szCs w:val="24"/>
        </w:rPr>
      </w:pPr>
    </w:p>
    <w:p w14:paraId="517400E7" w14:textId="684622B1" w:rsidR="00706E93" w:rsidRDefault="003840AA" w:rsidP="00752224">
      <w:pPr>
        <w:spacing w:after="120"/>
        <w:jc w:val="center"/>
        <w:rPr>
          <w:rFonts w:ascii="Bookman Old Style" w:hAnsi="Bookman Old Style"/>
          <w:color w:val="2E74B5" w:themeColor="accent1" w:themeShade="BF"/>
          <w:sz w:val="28"/>
          <w:szCs w:val="28"/>
        </w:rPr>
      </w:pPr>
      <w:r>
        <w:rPr>
          <w:rFonts w:ascii="Bookman Old Style" w:hAnsi="Bookman Old Style"/>
          <w:color w:val="2E74B5" w:themeColor="accent1" w:themeShade="BF"/>
          <w:sz w:val="28"/>
          <w:szCs w:val="28"/>
        </w:rPr>
        <w:t>Indagine conoscitiva su</w:t>
      </w:r>
    </w:p>
    <w:p w14:paraId="65ADC693" w14:textId="3C3E2DCC" w:rsidR="003840AA" w:rsidRPr="00214CA9" w:rsidRDefault="003840AA" w:rsidP="00752224">
      <w:pPr>
        <w:spacing w:after="120"/>
        <w:jc w:val="center"/>
        <w:rPr>
          <w:rFonts w:ascii="Bookman Old Style" w:hAnsi="Bookman Old Style"/>
          <w:color w:val="2E74B5" w:themeColor="accent1" w:themeShade="BF"/>
          <w:sz w:val="28"/>
          <w:szCs w:val="28"/>
        </w:rPr>
      </w:pPr>
      <w:r>
        <w:rPr>
          <w:rFonts w:ascii="Bookman Old Style" w:hAnsi="Bookman Old Style"/>
          <w:color w:val="2E74B5" w:themeColor="accent1" w:themeShade="BF"/>
          <w:sz w:val="28"/>
          <w:szCs w:val="28"/>
        </w:rPr>
        <w:t>“Sistemi tributari delle regioni e degli enti territoriali nella prospettiva dell’attuazione del federalismo fiscale e dell’autonomia differenziata”</w:t>
      </w:r>
    </w:p>
    <w:p w14:paraId="6A537EA6" w14:textId="77777777" w:rsidR="00706E93" w:rsidRPr="00706E93" w:rsidRDefault="00706E93" w:rsidP="00752224">
      <w:pPr>
        <w:spacing w:after="120"/>
        <w:jc w:val="center"/>
        <w:rPr>
          <w:rFonts w:ascii="Bookman Old Style" w:hAnsi="Bookman Old Style"/>
          <w:b/>
          <w:color w:val="2E74B5" w:themeColor="accent1" w:themeShade="BF"/>
        </w:rPr>
      </w:pPr>
    </w:p>
    <w:p w14:paraId="202E9341" w14:textId="77777777" w:rsidR="00706E93" w:rsidRPr="00214CA9" w:rsidRDefault="00706E93" w:rsidP="00752224">
      <w:pPr>
        <w:spacing w:after="120"/>
        <w:jc w:val="center"/>
        <w:rPr>
          <w:rFonts w:ascii="Bookman Old Style" w:hAnsi="Bookman Old Style"/>
          <w:b/>
          <w:color w:val="2E74B5" w:themeColor="accent1" w:themeShade="BF"/>
          <w:sz w:val="24"/>
          <w:szCs w:val="24"/>
        </w:rPr>
      </w:pPr>
    </w:p>
    <w:p w14:paraId="1BB0F50C" w14:textId="77777777" w:rsidR="00706E93" w:rsidRPr="00214CA9" w:rsidRDefault="00706E93" w:rsidP="00752224">
      <w:pPr>
        <w:spacing w:after="120"/>
        <w:jc w:val="center"/>
        <w:rPr>
          <w:rFonts w:ascii="Bookman Old Style" w:hAnsi="Bookman Old Style"/>
          <w:b/>
          <w:color w:val="2E74B5" w:themeColor="accent1" w:themeShade="BF"/>
          <w:sz w:val="24"/>
          <w:szCs w:val="24"/>
        </w:rPr>
      </w:pPr>
    </w:p>
    <w:p w14:paraId="6EB58807" w14:textId="77777777" w:rsidR="00706E93" w:rsidRPr="00214CA9" w:rsidRDefault="00706E93" w:rsidP="00752224">
      <w:pPr>
        <w:spacing w:after="120"/>
        <w:jc w:val="center"/>
        <w:rPr>
          <w:rFonts w:ascii="Bookman Old Style" w:hAnsi="Bookman Old Style"/>
          <w:b/>
          <w:color w:val="2E74B5" w:themeColor="accent1" w:themeShade="BF"/>
          <w:sz w:val="24"/>
          <w:szCs w:val="24"/>
        </w:rPr>
      </w:pPr>
    </w:p>
    <w:p w14:paraId="6A86688C" w14:textId="38E1A11B" w:rsidR="00214CA9" w:rsidRDefault="00214CA9" w:rsidP="00752224">
      <w:pPr>
        <w:spacing w:after="120"/>
        <w:jc w:val="center"/>
        <w:rPr>
          <w:rFonts w:ascii="Bookman Old Style" w:hAnsi="Bookman Old Style"/>
          <w:b/>
          <w:i/>
          <w:color w:val="2E74B5" w:themeColor="accent1" w:themeShade="BF"/>
          <w:sz w:val="24"/>
          <w:szCs w:val="24"/>
        </w:rPr>
      </w:pPr>
    </w:p>
    <w:p w14:paraId="42EE4833" w14:textId="4A5499A1" w:rsidR="003840AA" w:rsidRDefault="003840AA" w:rsidP="00752224">
      <w:pPr>
        <w:spacing w:after="120"/>
        <w:jc w:val="center"/>
        <w:rPr>
          <w:rFonts w:ascii="Bookman Old Style" w:hAnsi="Bookman Old Style"/>
          <w:b/>
          <w:i/>
          <w:color w:val="2E74B5" w:themeColor="accent1" w:themeShade="BF"/>
          <w:sz w:val="24"/>
          <w:szCs w:val="24"/>
        </w:rPr>
      </w:pPr>
    </w:p>
    <w:p w14:paraId="2A968BCF" w14:textId="6C7E4143" w:rsidR="003840AA" w:rsidRDefault="003840AA" w:rsidP="00752224">
      <w:pPr>
        <w:spacing w:after="120"/>
        <w:jc w:val="center"/>
        <w:rPr>
          <w:rFonts w:ascii="Bookman Old Style" w:hAnsi="Bookman Old Style"/>
          <w:b/>
          <w:i/>
          <w:color w:val="2E74B5" w:themeColor="accent1" w:themeShade="BF"/>
          <w:sz w:val="24"/>
          <w:szCs w:val="24"/>
        </w:rPr>
      </w:pPr>
    </w:p>
    <w:p w14:paraId="4250EEDC" w14:textId="77777777" w:rsidR="003840AA" w:rsidRPr="00214CA9" w:rsidRDefault="003840AA" w:rsidP="003840AA">
      <w:pPr>
        <w:spacing w:after="120"/>
        <w:jc w:val="center"/>
        <w:rPr>
          <w:rFonts w:ascii="Bookman Old Style" w:hAnsi="Bookman Old Style"/>
          <w:b/>
          <w:color w:val="2E74B5" w:themeColor="accent1" w:themeShade="BF"/>
          <w:sz w:val="24"/>
          <w:szCs w:val="24"/>
        </w:rPr>
      </w:pPr>
      <w:r w:rsidRPr="00214CA9">
        <w:rPr>
          <w:rFonts w:ascii="Bookman Old Style" w:hAnsi="Bookman Old Style"/>
          <w:b/>
          <w:color w:val="2E74B5" w:themeColor="accent1" w:themeShade="BF"/>
          <w:sz w:val="24"/>
          <w:szCs w:val="24"/>
        </w:rPr>
        <w:t>CAMERA DEI DEPUTATI</w:t>
      </w:r>
    </w:p>
    <w:p w14:paraId="429AA8F7" w14:textId="77777777" w:rsidR="003840AA" w:rsidRDefault="003840AA" w:rsidP="00752224">
      <w:pPr>
        <w:spacing w:after="120"/>
        <w:jc w:val="center"/>
        <w:rPr>
          <w:rFonts w:ascii="Bookman Old Style" w:hAnsi="Bookman Old Style"/>
          <w:b/>
          <w:i/>
          <w:color w:val="2E74B5" w:themeColor="accent1" w:themeShade="BF"/>
          <w:sz w:val="24"/>
          <w:szCs w:val="24"/>
        </w:rPr>
      </w:pPr>
    </w:p>
    <w:p w14:paraId="77F62E9C" w14:textId="6772C44D" w:rsidR="00706E93" w:rsidRPr="00214CA9" w:rsidRDefault="00706E93" w:rsidP="003840AA">
      <w:pPr>
        <w:spacing w:after="120"/>
        <w:jc w:val="center"/>
        <w:rPr>
          <w:rFonts w:ascii="Bookman Old Style" w:hAnsi="Bookman Old Style"/>
          <w:b/>
          <w:i/>
          <w:color w:val="2E74B5" w:themeColor="accent1" w:themeShade="BF"/>
          <w:sz w:val="24"/>
          <w:szCs w:val="24"/>
        </w:rPr>
      </w:pPr>
      <w:r w:rsidRPr="00214CA9">
        <w:rPr>
          <w:rFonts w:ascii="Bookman Old Style" w:hAnsi="Bookman Old Style"/>
          <w:b/>
          <w:i/>
          <w:color w:val="2E74B5" w:themeColor="accent1" w:themeShade="BF"/>
          <w:sz w:val="24"/>
          <w:szCs w:val="24"/>
        </w:rPr>
        <w:t xml:space="preserve">COMMISSIONE </w:t>
      </w:r>
      <w:r w:rsidR="003840AA">
        <w:rPr>
          <w:rFonts w:ascii="Bookman Old Style" w:hAnsi="Bookman Old Style"/>
          <w:b/>
          <w:i/>
          <w:color w:val="2E74B5" w:themeColor="accent1" w:themeShade="BF"/>
          <w:sz w:val="24"/>
          <w:szCs w:val="24"/>
        </w:rPr>
        <w:t xml:space="preserve">FINANZE </w:t>
      </w:r>
    </w:p>
    <w:p w14:paraId="3A671A8C" w14:textId="77777777" w:rsidR="00706E93" w:rsidRPr="00214CA9" w:rsidRDefault="00706E93" w:rsidP="00752224">
      <w:pPr>
        <w:spacing w:after="120"/>
        <w:jc w:val="center"/>
        <w:rPr>
          <w:rFonts w:ascii="Bookman Old Style" w:hAnsi="Bookman Old Style"/>
          <w:b/>
          <w:color w:val="2E74B5" w:themeColor="accent1" w:themeShade="BF"/>
          <w:sz w:val="24"/>
          <w:szCs w:val="24"/>
        </w:rPr>
      </w:pPr>
    </w:p>
    <w:p w14:paraId="20723AB6" w14:textId="77777777" w:rsidR="00706E93" w:rsidRPr="00706E93" w:rsidRDefault="00706E93" w:rsidP="00752224">
      <w:pPr>
        <w:spacing w:after="120"/>
        <w:jc w:val="center"/>
        <w:rPr>
          <w:rFonts w:ascii="Bookman Old Style" w:hAnsi="Bookman Old Style"/>
          <w:b/>
          <w:color w:val="2E74B5" w:themeColor="accent1" w:themeShade="BF"/>
          <w:sz w:val="24"/>
          <w:szCs w:val="24"/>
        </w:rPr>
      </w:pPr>
    </w:p>
    <w:p w14:paraId="59432764" w14:textId="77777777" w:rsidR="00706E93" w:rsidRPr="00706E93" w:rsidRDefault="00706E93" w:rsidP="00752224">
      <w:pPr>
        <w:spacing w:after="120"/>
        <w:jc w:val="center"/>
        <w:rPr>
          <w:rFonts w:ascii="Bookman Old Style" w:hAnsi="Bookman Old Style"/>
          <w:i/>
          <w:color w:val="2E74B5" w:themeColor="accent1" w:themeShade="BF"/>
          <w:sz w:val="20"/>
          <w:szCs w:val="20"/>
        </w:rPr>
      </w:pPr>
    </w:p>
    <w:p w14:paraId="004B07EA" w14:textId="77777777" w:rsidR="00706E93" w:rsidRPr="00706E93" w:rsidRDefault="00706E93" w:rsidP="00752224">
      <w:pPr>
        <w:spacing w:after="120"/>
        <w:jc w:val="center"/>
        <w:rPr>
          <w:rFonts w:ascii="Bookman Old Style" w:hAnsi="Bookman Old Style"/>
          <w:i/>
          <w:color w:val="2E74B5" w:themeColor="accent1" w:themeShade="BF"/>
          <w:sz w:val="20"/>
          <w:szCs w:val="20"/>
        </w:rPr>
      </w:pPr>
    </w:p>
    <w:p w14:paraId="597B54A7" w14:textId="77777777" w:rsidR="00706E93" w:rsidRPr="00706E93" w:rsidRDefault="00706E93" w:rsidP="00752224">
      <w:pPr>
        <w:spacing w:after="120"/>
        <w:jc w:val="center"/>
        <w:rPr>
          <w:rFonts w:ascii="Bookman Old Style" w:hAnsi="Bookman Old Style"/>
          <w:i/>
          <w:color w:val="2E74B5" w:themeColor="accent1" w:themeShade="BF"/>
          <w:sz w:val="20"/>
          <w:szCs w:val="20"/>
        </w:rPr>
      </w:pPr>
    </w:p>
    <w:p w14:paraId="6B6B70CB" w14:textId="77777777" w:rsidR="00706E93" w:rsidRPr="00706E93" w:rsidRDefault="00706E93" w:rsidP="00752224">
      <w:pPr>
        <w:spacing w:after="120"/>
        <w:jc w:val="center"/>
        <w:rPr>
          <w:rFonts w:ascii="Bookman Old Style" w:hAnsi="Bookman Old Style"/>
          <w:i/>
          <w:color w:val="2E74B5" w:themeColor="accent1" w:themeShade="BF"/>
        </w:rPr>
      </w:pPr>
    </w:p>
    <w:p w14:paraId="13D31A14" w14:textId="77777777" w:rsidR="00706E93" w:rsidRPr="00706E93" w:rsidRDefault="00706E93" w:rsidP="00752224">
      <w:pPr>
        <w:spacing w:after="120"/>
        <w:jc w:val="center"/>
        <w:rPr>
          <w:rFonts w:ascii="Bookman Old Style" w:hAnsi="Bookman Old Style"/>
          <w:i/>
          <w:color w:val="2E74B5" w:themeColor="accent1" w:themeShade="BF"/>
        </w:rPr>
      </w:pPr>
    </w:p>
    <w:p w14:paraId="16AA4E25" w14:textId="355BFB55" w:rsidR="00706E93" w:rsidRPr="00706E93" w:rsidRDefault="003840AA" w:rsidP="00752224">
      <w:pPr>
        <w:spacing w:after="120"/>
        <w:jc w:val="center"/>
        <w:rPr>
          <w:rFonts w:ascii="Bookman Old Style" w:hAnsi="Bookman Old Style"/>
          <w:i/>
          <w:color w:val="2E74B5" w:themeColor="accent1" w:themeShade="BF"/>
        </w:rPr>
      </w:pPr>
      <w:r>
        <w:rPr>
          <w:rFonts w:ascii="Bookman Old Style" w:hAnsi="Bookman Old Style"/>
          <w:i/>
          <w:color w:val="2E74B5" w:themeColor="accent1" w:themeShade="BF"/>
        </w:rPr>
        <w:t>Roma, 14 novembre 201</w:t>
      </w:r>
      <w:r w:rsidR="00FC66B6">
        <w:rPr>
          <w:rFonts w:ascii="Bookman Old Style" w:hAnsi="Bookman Old Style"/>
          <w:i/>
          <w:color w:val="2E74B5" w:themeColor="accent1" w:themeShade="BF"/>
        </w:rPr>
        <w:t>9</w:t>
      </w:r>
    </w:p>
    <w:p w14:paraId="064BE9D3" w14:textId="77777777" w:rsidR="00706E93" w:rsidRDefault="00706E93" w:rsidP="00752224">
      <w:pPr>
        <w:spacing w:after="120"/>
        <w:rPr>
          <w:rFonts w:ascii="Bookman Old Style" w:hAnsi="Bookman Old Style"/>
        </w:rPr>
      </w:pPr>
      <w:r>
        <w:rPr>
          <w:rFonts w:ascii="Bookman Old Style" w:hAnsi="Bookman Old Style"/>
        </w:rPr>
        <w:br w:type="page"/>
      </w:r>
    </w:p>
    <w:sdt>
      <w:sdtPr>
        <w:rPr>
          <w:rFonts w:asciiTheme="minorHAnsi" w:eastAsiaTheme="minorHAnsi" w:hAnsiTheme="minorHAnsi" w:cstheme="minorBidi"/>
          <w:color w:val="auto"/>
          <w:sz w:val="22"/>
          <w:szCs w:val="22"/>
          <w:lang w:eastAsia="en-US"/>
        </w:rPr>
        <w:id w:val="-1040821991"/>
        <w:docPartObj>
          <w:docPartGallery w:val="Table of Contents"/>
          <w:docPartUnique/>
        </w:docPartObj>
      </w:sdtPr>
      <w:sdtEndPr>
        <w:rPr>
          <w:rFonts w:ascii="Bookman Old Style" w:hAnsi="Bookman Old Style"/>
          <w:b/>
          <w:bCs/>
        </w:rPr>
      </w:sdtEndPr>
      <w:sdtContent>
        <w:p w14:paraId="7A2A7269" w14:textId="0F62EBC4" w:rsidR="00C634F0" w:rsidRDefault="00C634F0">
          <w:pPr>
            <w:pStyle w:val="Titolosommario"/>
          </w:pPr>
          <w:r>
            <w:t>Sommario</w:t>
          </w:r>
        </w:p>
        <w:p w14:paraId="07988633" w14:textId="4659964C" w:rsidR="00E34F41" w:rsidRPr="00E34F41" w:rsidRDefault="00C634F0" w:rsidP="00E34F41">
          <w:pPr>
            <w:pStyle w:val="Sommario1"/>
            <w:tabs>
              <w:tab w:val="clear" w:pos="9356"/>
              <w:tab w:val="right" w:leader="dot" w:pos="9498"/>
            </w:tabs>
            <w:rPr>
              <w:rFonts w:ascii="Bookman Old Style" w:eastAsiaTheme="minorEastAsia" w:hAnsi="Bookman Old Style"/>
              <w:noProof/>
              <w:lang w:eastAsia="it-IT"/>
            </w:rPr>
          </w:pPr>
          <w:r w:rsidRPr="00E34F41">
            <w:rPr>
              <w:rFonts w:ascii="Bookman Old Style" w:hAnsi="Bookman Old Style"/>
            </w:rPr>
            <w:fldChar w:fldCharType="begin"/>
          </w:r>
          <w:r w:rsidRPr="00E34F41">
            <w:rPr>
              <w:rFonts w:ascii="Bookman Old Style" w:hAnsi="Bookman Old Style"/>
            </w:rPr>
            <w:instrText xml:space="preserve"> TOC \o "1-3" \h \z \u </w:instrText>
          </w:r>
          <w:r w:rsidRPr="00E34F41">
            <w:rPr>
              <w:rFonts w:ascii="Bookman Old Style" w:hAnsi="Bookman Old Style"/>
            </w:rPr>
            <w:fldChar w:fldCharType="separate"/>
          </w:r>
          <w:hyperlink w:anchor="_Toc24483137" w:history="1">
            <w:r w:rsidR="00E34F41" w:rsidRPr="00E34F41">
              <w:rPr>
                <w:rStyle w:val="Collegamentoipertestuale"/>
                <w:rFonts w:ascii="Bookman Old Style" w:hAnsi="Bookman Old Style"/>
                <w:noProof/>
              </w:rPr>
              <w:t>Premessa e sintesi</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_Toc24483137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2</w:t>
            </w:r>
            <w:r w:rsidR="00E34F41" w:rsidRPr="00E34F41">
              <w:rPr>
                <w:rFonts w:ascii="Bookman Old Style" w:hAnsi="Bookman Old Style"/>
                <w:noProof/>
                <w:webHidden/>
              </w:rPr>
              <w:fldChar w:fldCharType="end"/>
            </w:r>
          </w:hyperlink>
        </w:p>
        <w:p w14:paraId="016117EA" w14:textId="48B32ECF" w:rsidR="00E34F41" w:rsidRPr="00E34F41" w:rsidRDefault="00113620" w:rsidP="00E34F41">
          <w:pPr>
            <w:pStyle w:val="Sommario1"/>
            <w:tabs>
              <w:tab w:val="clear" w:pos="9356"/>
              <w:tab w:val="right" w:leader="dot" w:pos="9498"/>
            </w:tabs>
            <w:rPr>
              <w:rFonts w:ascii="Bookman Old Style" w:eastAsiaTheme="minorEastAsia" w:hAnsi="Bookman Old Style"/>
              <w:noProof/>
              <w:lang w:eastAsia="it-IT"/>
            </w:rPr>
          </w:pPr>
          <w:hyperlink w:anchor="_Toc24483138" w:history="1">
            <w:r w:rsidR="00E34F41" w:rsidRPr="00E34F41">
              <w:rPr>
                <w:rStyle w:val="Collegamentoipertestuale"/>
                <w:rFonts w:ascii="Bookman Old Style" w:hAnsi="Bookman Old Style"/>
                <w:noProof/>
              </w:rPr>
              <w:t>Il sistema perequativo e il disegno della legge 42/2009</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_Toc24483138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5</w:t>
            </w:r>
            <w:r w:rsidR="00E34F41" w:rsidRPr="00E34F41">
              <w:rPr>
                <w:rFonts w:ascii="Bookman Old Style" w:hAnsi="Bookman Old Style"/>
                <w:noProof/>
                <w:webHidden/>
              </w:rPr>
              <w:fldChar w:fldCharType="end"/>
            </w:r>
          </w:hyperlink>
        </w:p>
        <w:p w14:paraId="04DF2721" w14:textId="2F1BF705" w:rsidR="00E34F41" w:rsidRPr="00E34F41" w:rsidRDefault="00113620" w:rsidP="00E34F41">
          <w:pPr>
            <w:pStyle w:val="Sommario3"/>
            <w:tabs>
              <w:tab w:val="right" w:leader="dot" w:pos="9498"/>
              <w:tab w:val="right" w:leader="dot" w:pos="9628"/>
            </w:tabs>
            <w:rPr>
              <w:rFonts w:ascii="Bookman Old Style" w:eastAsiaTheme="minorEastAsia" w:hAnsi="Bookman Old Style"/>
              <w:noProof/>
              <w:lang w:eastAsia="it-IT"/>
            </w:rPr>
          </w:pPr>
          <w:hyperlink w:anchor="_Toc24483139" w:history="1">
            <w:r w:rsidR="00E34F41" w:rsidRPr="00E34F41">
              <w:rPr>
                <w:rStyle w:val="Collegamentoipertestuale"/>
                <w:rFonts w:ascii="Bookman Old Style" w:hAnsi="Bookman Old Style"/>
                <w:iCs/>
                <w:noProof/>
              </w:rPr>
              <w:t>Il nodo della perequazione orizzontale</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_Toc24483139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6</w:t>
            </w:r>
            <w:r w:rsidR="00E34F41" w:rsidRPr="00E34F41">
              <w:rPr>
                <w:rFonts w:ascii="Bookman Old Style" w:hAnsi="Bookman Old Style"/>
                <w:noProof/>
                <w:webHidden/>
              </w:rPr>
              <w:fldChar w:fldCharType="end"/>
            </w:r>
          </w:hyperlink>
        </w:p>
        <w:p w14:paraId="7FECDC86" w14:textId="5B370F94" w:rsidR="00E34F41" w:rsidRPr="00E34F41" w:rsidRDefault="00113620" w:rsidP="00E34F41">
          <w:pPr>
            <w:pStyle w:val="Sommario3"/>
            <w:tabs>
              <w:tab w:val="right" w:leader="dot" w:pos="9498"/>
              <w:tab w:val="right" w:leader="dot" w:pos="9628"/>
            </w:tabs>
            <w:rPr>
              <w:rFonts w:ascii="Bookman Old Style" w:eastAsiaTheme="minorEastAsia" w:hAnsi="Bookman Old Style"/>
              <w:noProof/>
              <w:lang w:eastAsia="it-IT"/>
            </w:rPr>
          </w:pPr>
          <w:hyperlink w:anchor="_Toc24483140" w:history="1">
            <w:r w:rsidR="00E34F41" w:rsidRPr="00E34F41">
              <w:rPr>
                <w:rStyle w:val="Collegamentoipertestuale"/>
                <w:rFonts w:ascii="Bookman Old Style" w:hAnsi="Bookman Old Style"/>
                <w:iCs/>
                <w:noProof/>
              </w:rPr>
              <w:t>I Livelli essenziali delle prestazioni (LEP)</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_Toc24483140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7</w:t>
            </w:r>
            <w:r w:rsidR="00E34F41" w:rsidRPr="00E34F41">
              <w:rPr>
                <w:rFonts w:ascii="Bookman Old Style" w:hAnsi="Bookman Old Style"/>
                <w:noProof/>
                <w:webHidden/>
              </w:rPr>
              <w:fldChar w:fldCharType="end"/>
            </w:r>
          </w:hyperlink>
        </w:p>
        <w:p w14:paraId="3CD50D94" w14:textId="20B96C86" w:rsidR="00E34F41" w:rsidRPr="00E34F41" w:rsidRDefault="00113620" w:rsidP="00E34F41">
          <w:pPr>
            <w:pStyle w:val="Sommario3"/>
            <w:tabs>
              <w:tab w:val="right" w:leader="dot" w:pos="9498"/>
              <w:tab w:val="right" w:leader="dot" w:pos="9628"/>
            </w:tabs>
            <w:rPr>
              <w:rFonts w:ascii="Bookman Old Style" w:eastAsiaTheme="minorEastAsia" w:hAnsi="Bookman Old Style"/>
              <w:noProof/>
              <w:lang w:eastAsia="it-IT"/>
            </w:rPr>
          </w:pPr>
          <w:hyperlink w:anchor="_Toc24483141" w:history="1">
            <w:r w:rsidR="00E34F41" w:rsidRPr="00E34F41">
              <w:rPr>
                <w:rStyle w:val="Collegamentoipertestuale"/>
                <w:rFonts w:ascii="Bookman Old Style" w:hAnsi="Bookman Old Style"/>
                <w:iCs/>
                <w:noProof/>
              </w:rPr>
              <w:t>Le Città metropolitane</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_Toc24483141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8</w:t>
            </w:r>
            <w:r w:rsidR="00E34F41" w:rsidRPr="00E34F41">
              <w:rPr>
                <w:rFonts w:ascii="Bookman Old Style" w:hAnsi="Bookman Old Style"/>
                <w:noProof/>
                <w:webHidden/>
              </w:rPr>
              <w:fldChar w:fldCharType="end"/>
            </w:r>
          </w:hyperlink>
        </w:p>
        <w:p w14:paraId="5476BBF5" w14:textId="00C90401" w:rsidR="00E34F41" w:rsidRPr="00E34F41" w:rsidRDefault="00113620" w:rsidP="00E34F41">
          <w:pPr>
            <w:pStyle w:val="Sommario1"/>
            <w:tabs>
              <w:tab w:val="clear" w:pos="9356"/>
              <w:tab w:val="right" w:leader="dot" w:pos="9498"/>
            </w:tabs>
            <w:rPr>
              <w:rFonts w:ascii="Bookman Old Style" w:eastAsiaTheme="minorEastAsia" w:hAnsi="Bookman Old Style"/>
              <w:noProof/>
              <w:lang w:eastAsia="it-IT"/>
            </w:rPr>
          </w:pPr>
          <w:hyperlink w:anchor="_Toc24483142" w:history="1">
            <w:r w:rsidR="00E34F41" w:rsidRPr="00E34F41">
              <w:rPr>
                <w:rStyle w:val="Collegamentoipertestuale"/>
                <w:rFonts w:ascii="Bookman Old Style" w:hAnsi="Bookman Old Style"/>
                <w:noProof/>
              </w:rPr>
              <w:t>Fiscalità e autonomia locale</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_Toc24483142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8</w:t>
            </w:r>
            <w:r w:rsidR="00E34F41" w:rsidRPr="00E34F41">
              <w:rPr>
                <w:rFonts w:ascii="Bookman Old Style" w:hAnsi="Bookman Old Style"/>
                <w:noProof/>
                <w:webHidden/>
              </w:rPr>
              <w:fldChar w:fldCharType="end"/>
            </w:r>
          </w:hyperlink>
        </w:p>
        <w:p w14:paraId="6A1593FF" w14:textId="5A3792DF" w:rsidR="00E34F41" w:rsidRPr="00E34F41" w:rsidRDefault="00113620" w:rsidP="00E34F41">
          <w:pPr>
            <w:pStyle w:val="Sommario3"/>
            <w:tabs>
              <w:tab w:val="right" w:leader="dot" w:pos="9498"/>
              <w:tab w:val="right" w:leader="dot" w:pos="9628"/>
            </w:tabs>
            <w:rPr>
              <w:rFonts w:ascii="Bookman Old Style" w:eastAsiaTheme="minorEastAsia" w:hAnsi="Bookman Old Style"/>
              <w:noProof/>
              <w:lang w:eastAsia="it-IT"/>
            </w:rPr>
          </w:pPr>
          <w:hyperlink w:anchor="_Toc24483143" w:history="1">
            <w:r w:rsidR="00E34F41" w:rsidRPr="00E34F41">
              <w:rPr>
                <w:rStyle w:val="Collegamentoipertestuale"/>
                <w:rFonts w:ascii="Bookman Old Style" w:hAnsi="Bookman Old Style"/>
                <w:iCs/>
                <w:noProof/>
              </w:rPr>
              <w:t>Le ragioni della tassazione immobiliare locale</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_Toc24483143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8</w:t>
            </w:r>
            <w:r w:rsidR="00E34F41" w:rsidRPr="00E34F41">
              <w:rPr>
                <w:rFonts w:ascii="Bookman Old Style" w:hAnsi="Bookman Old Style"/>
                <w:noProof/>
                <w:webHidden/>
              </w:rPr>
              <w:fldChar w:fldCharType="end"/>
            </w:r>
          </w:hyperlink>
        </w:p>
        <w:p w14:paraId="58DB905A" w14:textId="23ED0DF4" w:rsidR="00E34F41" w:rsidRPr="00E34F41" w:rsidRDefault="00113620" w:rsidP="00E34F41">
          <w:pPr>
            <w:pStyle w:val="Sommario3"/>
            <w:tabs>
              <w:tab w:val="right" w:leader="dot" w:pos="9498"/>
              <w:tab w:val="right" w:leader="dot" w:pos="9628"/>
            </w:tabs>
            <w:rPr>
              <w:rFonts w:ascii="Bookman Old Style" w:eastAsiaTheme="minorEastAsia" w:hAnsi="Bookman Old Style"/>
              <w:noProof/>
              <w:lang w:eastAsia="it-IT"/>
            </w:rPr>
          </w:pPr>
          <w:hyperlink w:anchor="_Toc24483144" w:history="1">
            <w:r w:rsidR="00E34F41" w:rsidRPr="00E34F41">
              <w:rPr>
                <w:rStyle w:val="Collegamentoipertestuale"/>
                <w:rFonts w:ascii="Bookman Old Style" w:hAnsi="Bookman Old Style"/>
                <w:iCs/>
                <w:noProof/>
              </w:rPr>
              <w:t>L’imposta comunale immobiliare in Italia e le principali problematiche</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_Toc24483144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10</w:t>
            </w:r>
            <w:r w:rsidR="00E34F41" w:rsidRPr="00E34F41">
              <w:rPr>
                <w:rFonts w:ascii="Bookman Old Style" w:hAnsi="Bookman Old Style"/>
                <w:noProof/>
                <w:webHidden/>
              </w:rPr>
              <w:fldChar w:fldCharType="end"/>
            </w:r>
          </w:hyperlink>
        </w:p>
        <w:p w14:paraId="7A3DAA0E" w14:textId="3BFCFD90" w:rsidR="00E34F41" w:rsidRPr="00E34F41" w:rsidRDefault="00113620" w:rsidP="00E34F41">
          <w:pPr>
            <w:pStyle w:val="Sommario1"/>
            <w:tabs>
              <w:tab w:val="clear" w:pos="9356"/>
              <w:tab w:val="right" w:leader="dot" w:pos="9498"/>
            </w:tabs>
            <w:rPr>
              <w:rFonts w:ascii="Bookman Old Style" w:eastAsiaTheme="minorEastAsia" w:hAnsi="Bookman Old Style"/>
              <w:noProof/>
              <w:lang w:eastAsia="it-IT"/>
            </w:rPr>
          </w:pPr>
          <w:hyperlink w:anchor="_Toc24483145" w:history="1">
            <w:r w:rsidR="00E34F41" w:rsidRPr="00E34F41">
              <w:rPr>
                <w:rStyle w:val="Collegamentoipertestuale"/>
                <w:rFonts w:ascii="Bookman Old Style" w:hAnsi="Bookman Old Style"/>
                <w:noProof/>
              </w:rPr>
              <w:t>L’attuazione del regionalismo differenziato</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_Toc24483145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15</w:t>
            </w:r>
            <w:r w:rsidR="00E34F41" w:rsidRPr="00E34F41">
              <w:rPr>
                <w:rFonts w:ascii="Bookman Old Style" w:hAnsi="Bookman Old Style"/>
                <w:noProof/>
                <w:webHidden/>
              </w:rPr>
              <w:fldChar w:fldCharType="end"/>
            </w:r>
          </w:hyperlink>
        </w:p>
        <w:p w14:paraId="2AB1C15D" w14:textId="3728FB45" w:rsidR="00E34F41" w:rsidRPr="00E34F41" w:rsidRDefault="00113620" w:rsidP="00E34F41">
          <w:pPr>
            <w:pStyle w:val="Sommario3"/>
            <w:tabs>
              <w:tab w:val="right" w:leader="dot" w:pos="9498"/>
              <w:tab w:val="right" w:leader="dot" w:pos="9628"/>
            </w:tabs>
            <w:rPr>
              <w:rFonts w:ascii="Bookman Old Style" w:eastAsiaTheme="minorEastAsia" w:hAnsi="Bookman Old Style"/>
              <w:noProof/>
              <w:lang w:eastAsia="it-IT"/>
            </w:rPr>
          </w:pPr>
          <w:hyperlink w:anchor="_Toc24483146" w:history="1">
            <w:r w:rsidR="00E34F41" w:rsidRPr="00E34F41">
              <w:rPr>
                <w:rStyle w:val="Collegamentoipertestuale"/>
                <w:rFonts w:ascii="Bookman Old Style" w:hAnsi="Bookman Old Style"/>
                <w:iCs/>
                <w:noProof/>
              </w:rPr>
              <w:t>Proposte di merito: i principi che guidano l’attuazione dell’art. 116, c. 3 Cost.</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_Toc24483146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15</w:t>
            </w:r>
            <w:r w:rsidR="00E34F41" w:rsidRPr="00E34F41">
              <w:rPr>
                <w:rFonts w:ascii="Bookman Old Style" w:hAnsi="Bookman Old Style"/>
                <w:noProof/>
                <w:webHidden/>
              </w:rPr>
              <w:fldChar w:fldCharType="end"/>
            </w:r>
          </w:hyperlink>
        </w:p>
        <w:p w14:paraId="0053E461" w14:textId="3971965E" w:rsidR="00E34F41" w:rsidRPr="00E34F41" w:rsidRDefault="00113620" w:rsidP="00E34F41">
          <w:pPr>
            <w:pStyle w:val="Sommario3"/>
            <w:tabs>
              <w:tab w:val="right" w:leader="dot" w:pos="9498"/>
              <w:tab w:val="right" w:leader="dot" w:pos="9628"/>
            </w:tabs>
            <w:rPr>
              <w:rFonts w:ascii="Bookman Old Style" w:eastAsiaTheme="minorEastAsia" w:hAnsi="Bookman Old Style"/>
              <w:noProof/>
              <w:lang w:eastAsia="it-IT"/>
            </w:rPr>
          </w:pPr>
          <w:hyperlink w:anchor="_Toc24483147" w:history="1">
            <w:r w:rsidR="00E34F41" w:rsidRPr="00E34F41">
              <w:rPr>
                <w:rStyle w:val="Collegamentoipertestuale"/>
                <w:rFonts w:ascii="Bookman Old Style" w:hAnsi="Bookman Old Style"/>
                <w:iCs/>
                <w:noProof/>
              </w:rPr>
              <w:t>Proposte di metodo: l’accompagnamento, il monitoraggio e l’implementazione dei processi di regionalismo differenziato</w:t>
            </w:r>
            <w:r w:rsidR="00E34F41" w:rsidRPr="00E34F41">
              <w:rPr>
                <w:rFonts w:ascii="Bookman Old Style" w:hAnsi="Bookman Old Style"/>
                <w:noProof/>
                <w:webHidden/>
              </w:rPr>
              <w:tab/>
            </w:r>
            <w:r w:rsidR="00E34F41" w:rsidRPr="00E34F41">
              <w:rPr>
                <w:rFonts w:ascii="Bookman Old Style" w:hAnsi="Bookman Old Style"/>
                <w:noProof/>
                <w:webHidden/>
              </w:rPr>
              <w:fldChar w:fldCharType="begin"/>
            </w:r>
            <w:r w:rsidR="00E34F41" w:rsidRPr="00E34F41">
              <w:rPr>
                <w:rFonts w:ascii="Bookman Old Style" w:hAnsi="Bookman Old Style"/>
                <w:noProof/>
                <w:webHidden/>
              </w:rPr>
              <w:instrText xml:space="preserve"> PAGEREF _Toc24483147 \h </w:instrText>
            </w:r>
            <w:r w:rsidR="00E34F41" w:rsidRPr="00E34F41">
              <w:rPr>
                <w:rFonts w:ascii="Bookman Old Style" w:hAnsi="Bookman Old Style"/>
                <w:noProof/>
                <w:webHidden/>
              </w:rPr>
            </w:r>
            <w:r w:rsidR="00E34F41" w:rsidRPr="00E34F41">
              <w:rPr>
                <w:rFonts w:ascii="Bookman Old Style" w:hAnsi="Bookman Old Style"/>
                <w:noProof/>
                <w:webHidden/>
              </w:rPr>
              <w:fldChar w:fldCharType="separate"/>
            </w:r>
            <w:r w:rsidR="00C36B56">
              <w:rPr>
                <w:rFonts w:ascii="Bookman Old Style" w:hAnsi="Bookman Old Style"/>
                <w:noProof/>
                <w:webHidden/>
              </w:rPr>
              <w:t>17</w:t>
            </w:r>
            <w:r w:rsidR="00E34F41" w:rsidRPr="00E34F41">
              <w:rPr>
                <w:rFonts w:ascii="Bookman Old Style" w:hAnsi="Bookman Old Style"/>
                <w:noProof/>
                <w:webHidden/>
              </w:rPr>
              <w:fldChar w:fldCharType="end"/>
            </w:r>
          </w:hyperlink>
        </w:p>
        <w:p w14:paraId="49741F3A" w14:textId="2D6D1DAE" w:rsidR="00C634F0" w:rsidRPr="00E34F41" w:rsidRDefault="00C634F0" w:rsidP="00E34F41">
          <w:pPr>
            <w:tabs>
              <w:tab w:val="right" w:leader="dot" w:pos="9498"/>
            </w:tabs>
            <w:rPr>
              <w:rFonts w:ascii="Bookman Old Style" w:hAnsi="Bookman Old Style"/>
            </w:rPr>
          </w:pPr>
          <w:r w:rsidRPr="00E34F41">
            <w:rPr>
              <w:rFonts w:ascii="Bookman Old Style" w:hAnsi="Bookman Old Style"/>
              <w:b/>
              <w:bCs/>
            </w:rPr>
            <w:fldChar w:fldCharType="end"/>
          </w:r>
        </w:p>
      </w:sdtContent>
    </w:sdt>
    <w:p w14:paraId="6D4A8F13" w14:textId="382CEA80" w:rsidR="00214CA9" w:rsidRPr="004B09BA" w:rsidRDefault="00214CA9" w:rsidP="00AD59DD">
      <w:pPr>
        <w:pStyle w:val="Titolo1"/>
        <w:rPr>
          <w:b w:val="0"/>
          <w:bCs/>
        </w:rPr>
      </w:pPr>
    </w:p>
    <w:p w14:paraId="7A456D0F" w14:textId="77777777" w:rsidR="00E65025" w:rsidRDefault="00E65025" w:rsidP="00AD59DD">
      <w:pPr>
        <w:pStyle w:val="Titolo1"/>
      </w:pPr>
    </w:p>
    <w:p w14:paraId="605FB16E" w14:textId="0027874B" w:rsidR="0001636A" w:rsidRPr="00406D4D" w:rsidRDefault="0001636A" w:rsidP="00AD59DD">
      <w:pPr>
        <w:pStyle w:val="Titolo1"/>
      </w:pPr>
      <w:bookmarkStart w:id="0" w:name="_Toc11698123"/>
      <w:bookmarkStart w:id="1" w:name="_Toc24483137"/>
      <w:r w:rsidRPr="00406D4D">
        <w:t>Premessa</w:t>
      </w:r>
      <w:r w:rsidR="001D0B66" w:rsidRPr="00406D4D">
        <w:t xml:space="preserve"> e sintesi</w:t>
      </w:r>
      <w:bookmarkEnd w:id="0"/>
      <w:bookmarkEnd w:id="1"/>
    </w:p>
    <w:p w14:paraId="5226A798" w14:textId="1619F749" w:rsidR="003A7CE7" w:rsidRPr="00E65025" w:rsidRDefault="00737516"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t>La</w:t>
      </w:r>
      <w:r w:rsidR="0039720F" w:rsidRPr="00E65025">
        <w:rPr>
          <w:rFonts w:ascii="Bookman Old Style" w:hAnsi="Bookman Old Style"/>
          <w:sz w:val="24"/>
          <w:szCs w:val="24"/>
        </w:rPr>
        <w:t xml:space="preserve"> </w:t>
      </w:r>
      <w:r w:rsidR="0039720F" w:rsidRPr="004B09BA">
        <w:rPr>
          <w:rFonts w:ascii="Bookman Old Style" w:hAnsi="Bookman Old Style"/>
          <w:b/>
          <w:bCs/>
          <w:sz w:val="24"/>
          <w:szCs w:val="24"/>
        </w:rPr>
        <w:t>legge</w:t>
      </w:r>
      <w:r w:rsidR="003A7CE7" w:rsidRPr="004B09BA">
        <w:rPr>
          <w:rFonts w:ascii="Bookman Old Style" w:hAnsi="Bookman Old Style"/>
          <w:b/>
          <w:bCs/>
          <w:sz w:val="24"/>
          <w:szCs w:val="24"/>
        </w:rPr>
        <w:t xml:space="preserve"> 42/2009</w:t>
      </w:r>
      <w:r w:rsidR="003A7CE7" w:rsidRPr="00E65025">
        <w:rPr>
          <w:rFonts w:ascii="Bookman Old Style" w:hAnsi="Bookman Old Style"/>
          <w:sz w:val="24"/>
          <w:szCs w:val="24"/>
        </w:rPr>
        <w:t xml:space="preserve"> in materia di federalismo fiscale </w:t>
      </w:r>
      <w:r w:rsidRPr="00E65025">
        <w:rPr>
          <w:rFonts w:ascii="Bookman Old Style" w:hAnsi="Bookman Old Style"/>
          <w:sz w:val="24"/>
          <w:szCs w:val="24"/>
        </w:rPr>
        <w:t>ha posto le basi per la revisione dei</w:t>
      </w:r>
      <w:r w:rsidR="0039720F" w:rsidRPr="00E65025">
        <w:rPr>
          <w:rFonts w:ascii="Bookman Old Style" w:hAnsi="Bookman Old Style"/>
          <w:sz w:val="24"/>
          <w:szCs w:val="24"/>
        </w:rPr>
        <w:t xml:space="preserve"> rapporti finanziari tra Stato, Regioni </w:t>
      </w:r>
      <w:r w:rsidRPr="00E65025">
        <w:rPr>
          <w:rFonts w:ascii="Bookman Old Style" w:hAnsi="Bookman Old Style"/>
          <w:sz w:val="24"/>
          <w:szCs w:val="24"/>
        </w:rPr>
        <w:t xml:space="preserve">ed Enti locali in </w:t>
      </w:r>
      <w:r w:rsidR="00C634F0">
        <w:rPr>
          <w:rFonts w:ascii="Bookman Old Style" w:hAnsi="Bookman Old Style"/>
          <w:sz w:val="24"/>
          <w:szCs w:val="24"/>
        </w:rPr>
        <w:t xml:space="preserve">applicazione dei </w:t>
      </w:r>
      <w:r w:rsidRPr="00E65025">
        <w:rPr>
          <w:rFonts w:ascii="Bookman Old Style" w:hAnsi="Bookman Old Style"/>
          <w:sz w:val="24"/>
          <w:szCs w:val="24"/>
        </w:rPr>
        <w:t xml:space="preserve">principi di autonomia di entrata e di spesa contenuti nell’art. 119 della </w:t>
      </w:r>
      <w:r w:rsidR="00406D4D">
        <w:rPr>
          <w:rFonts w:ascii="Bookman Old Style" w:hAnsi="Bookman Old Style"/>
          <w:sz w:val="24"/>
          <w:szCs w:val="24"/>
        </w:rPr>
        <w:t>C</w:t>
      </w:r>
      <w:r w:rsidRPr="00E65025">
        <w:rPr>
          <w:rFonts w:ascii="Bookman Old Style" w:hAnsi="Bookman Old Style"/>
          <w:sz w:val="24"/>
          <w:szCs w:val="24"/>
        </w:rPr>
        <w:t>ostituzione</w:t>
      </w:r>
      <w:r w:rsidR="00406D4D">
        <w:rPr>
          <w:rFonts w:ascii="Bookman Old Style" w:hAnsi="Bookman Old Style"/>
          <w:sz w:val="24"/>
          <w:szCs w:val="24"/>
        </w:rPr>
        <w:t xml:space="preserve"> riformata nel 2001</w:t>
      </w:r>
      <w:r w:rsidRPr="00E65025">
        <w:rPr>
          <w:rFonts w:ascii="Bookman Old Style" w:hAnsi="Bookman Old Style"/>
          <w:sz w:val="24"/>
          <w:szCs w:val="24"/>
        </w:rPr>
        <w:t>.</w:t>
      </w:r>
    </w:p>
    <w:p w14:paraId="2FF85BDE" w14:textId="63ADDE76" w:rsidR="00837397" w:rsidRPr="00E65025" w:rsidRDefault="00737516"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Alla base del nuovo assetto vi è </w:t>
      </w:r>
      <w:r w:rsidRPr="004B09BA">
        <w:rPr>
          <w:rFonts w:ascii="Bookman Old Style" w:hAnsi="Bookman Old Style"/>
          <w:b/>
          <w:bCs/>
          <w:sz w:val="24"/>
          <w:szCs w:val="24"/>
        </w:rPr>
        <w:t>il superamento del sistema di finanza derivata e l’attribuzione di una maggiore autonomia</w:t>
      </w:r>
      <w:r w:rsidRPr="00E65025">
        <w:rPr>
          <w:rFonts w:ascii="Bookman Old Style" w:hAnsi="Bookman Old Style"/>
          <w:sz w:val="24"/>
          <w:szCs w:val="24"/>
        </w:rPr>
        <w:t xml:space="preserve"> di entrata e di spesa </w:t>
      </w:r>
      <w:r w:rsidR="00F12F2B">
        <w:rPr>
          <w:rFonts w:ascii="Bookman Old Style" w:hAnsi="Bookman Old Style"/>
          <w:sz w:val="24"/>
          <w:szCs w:val="24"/>
        </w:rPr>
        <w:t>a</w:t>
      </w:r>
      <w:r w:rsidRPr="00E65025">
        <w:rPr>
          <w:rFonts w:ascii="Bookman Old Style" w:hAnsi="Bookman Old Style"/>
          <w:sz w:val="24"/>
          <w:szCs w:val="24"/>
        </w:rPr>
        <w:t xml:space="preserve">lle Regioni e </w:t>
      </w:r>
      <w:r w:rsidR="00F12F2B">
        <w:rPr>
          <w:rFonts w:ascii="Bookman Old Style" w:hAnsi="Bookman Old Style"/>
          <w:sz w:val="24"/>
          <w:szCs w:val="24"/>
        </w:rPr>
        <w:t>a</w:t>
      </w:r>
      <w:r w:rsidRPr="00E65025">
        <w:rPr>
          <w:rFonts w:ascii="Bookman Old Style" w:hAnsi="Bookman Old Style"/>
          <w:sz w:val="24"/>
          <w:szCs w:val="24"/>
        </w:rPr>
        <w:t>gli enti locali, nel rispetto dei principi di solidarietà e di coesione sociale.</w:t>
      </w:r>
      <w:r w:rsidR="00837397" w:rsidRPr="00E65025">
        <w:rPr>
          <w:rFonts w:ascii="Bookman Old Style" w:hAnsi="Bookman Old Style"/>
          <w:sz w:val="24"/>
          <w:szCs w:val="24"/>
        </w:rPr>
        <w:t xml:space="preserve"> </w:t>
      </w:r>
    </w:p>
    <w:p w14:paraId="65E931D5" w14:textId="7D663F9F" w:rsidR="00737516" w:rsidRDefault="00837397"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Le </w:t>
      </w:r>
      <w:r w:rsidRPr="004B09BA">
        <w:rPr>
          <w:rFonts w:ascii="Bookman Old Style" w:hAnsi="Bookman Old Style"/>
          <w:b/>
          <w:bCs/>
          <w:sz w:val="24"/>
          <w:szCs w:val="24"/>
        </w:rPr>
        <w:t>esigenze di superamento della spesa storica in favore di un sistema di finanziamento basato sui fabbisogni</w:t>
      </w:r>
      <w:r w:rsidR="00CD3AA5" w:rsidRPr="004B09BA">
        <w:rPr>
          <w:rFonts w:ascii="Bookman Old Style" w:hAnsi="Bookman Old Style"/>
          <w:b/>
          <w:bCs/>
          <w:sz w:val="24"/>
          <w:szCs w:val="24"/>
        </w:rPr>
        <w:t>, costi e</w:t>
      </w:r>
      <w:r w:rsidRPr="004B09BA">
        <w:rPr>
          <w:rFonts w:ascii="Bookman Old Style" w:hAnsi="Bookman Old Style"/>
          <w:b/>
          <w:bCs/>
          <w:sz w:val="24"/>
          <w:szCs w:val="24"/>
        </w:rPr>
        <w:t xml:space="preserve"> capacità fiscali</w:t>
      </w:r>
      <w:r w:rsidR="00CD3AA5" w:rsidRPr="004B09BA">
        <w:rPr>
          <w:rFonts w:ascii="Bookman Old Style" w:hAnsi="Bookman Old Style"/>
          <w:b/>
          <w:bCs/>
          <w:sz w:val="24"/>
          <w:szCs w:val="24"/>
        </w:rPr>
        <w:t xml:space="preserve"> standard</w:t>
      </w:r>
      <w:r w:rsidRPr="00E65025">
        <w:rPr>
          <w:rFonts w:ascii="Bookman Old Style" w:hAnsi="Bookman Old Style"/>
          <w:sz w:val="24"/>
          <w:szCs w:val="24"/>
        </w:rPr>
        <w:t xml:space="preserve">, hanno però trovato un ostacolo attuativo in una crisi finanziaria tra le più gravi degli ultimi decenni </w:t>
      </w:r>
      <w:r w:rsidR="00F12F2B">
        <w:rPr>
          <w:rFonts w:ascii="Bookman Old Style" w:hAnsi="Bookman Old Style"/>
          <w:sz w:val="24"/>
          <w:szCs w:val="24"/>
        </w:rPr>
        <w:t>che ha comportato inaudite riduzioni di risorse e misure di contenimento della finanza pubblica a partire dal 2010, proprio quando bisognava dare attuazione al nuovo e condiviso quadro di regole in materia di federalismo fiscale.</w:t>
      </w:r>
    </w:p>
    <w:p w14:paraId="56A3A7AD" w14:textId="4BE7C0F9" w:rsidR="00F52DC2" w:rsidRPr="00E65025" w:rsidRDefault="00F52DC2" w:rsidP="001D0B66">
      <w:pPr>
        <w:spacing w:after="120" w:line="264" w:lineRule="auto"/>
        <w:jc w:val="both"/>
        <w:rPr>
          <w:rFonts w:ascii="Bookman Old Style" w:hAnsi="Bookman Old Style"/>
          <w:sz w:val="24"/>
          <w:szCs w:val="24"/>
        </w:rPr>
      </w:pPr>
      <w:r>
        <w:rPr>
          <w:rFonts w:ascii="Bookman Old Style" w:hAnsi="Bookman Old Style"/>
          <w:sz w:val="24"/>
          <w:szCs w:val="24"/>
        </w:rPr>
        <w:t xml:space="preserve">Ricordiamo a tal proposito che il Comparto dei Comuni lamenta la mancata restituzione di risorse pari a 560 mln, taglio temporaneo previsto dal legislatore nel 2014. </w:t>
      </w:r>
    </w:p>
    <w:p w14:paraId="66647564" w14:textId="77777777" w:rsidR="00DF2D79" w:rsidRDefault="00945B69"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t>Va</w:t>
      </w:r>
      <w:r w:rsidR="00F12F2B">
        <w:rPr>
          <w:rFonts w:ascii="Bookman Old Style" w:hAnsi="Bookman Old Style"/>
          <w:sz w:val="24"/>
          <w:szCs w:val="24"/>
        </w:rPr>
        <w:t xml:space="preserve"> infatti</w:t>
      </w:r>
      <w:r w:rsidRPr="00E65025">
        <w:rPr>
          <w:rFonts w:ascii="Bookman Old Style" w:hAnsi="Bookman Old Style"/>
          <w:sz w:val="24"/>
          <w:szCs w:val="24"/>
        </w:rPr>
        <w:t xml:space="preserve"> ricordato che </w:t>
      </w:r>
      <w:r w:rsidR="004B09BA" w:rsidRPr="004B09BA">
        <w:rPr>
          <w:rFonts w:ascii="Bookman Old Style" w:hAnsi="Bookman Old Style"/>
          <w:b/>
          <w:bCs/>
          <w:sz w:val="24"/>
          <w:szCs w:val="24"/>
        </w:rPr>
        <w:t xml:space="preserve">il </w:t>
      </w:r>
      <w:r w:rsidRPr="004B09BA">
        <w:rPr>
          <w:rFonts w:ascii="Bookman Old Style" w:hAnsi="Bookman Old Style"/>
          <w:b/>
          <w:bCs/>
          <w:sz w:val="24"/>
          <w:szCs w:val="24"/>
        </w:rPr>
        <w:t>risanamento dei conti pubblici ha visto i</w:t>
      </w:r>
      <w:r w:rsidR="001D60EF" w:rsidRPr="004B09BA">
        <w:rPr>
          <w:rFonts w:ascii="Bookman Old Style" w:hAnsi="Bookman Old Style"/>
          <w:b/>
          <w:bCs/>
          <w:sz w:val="24"/>
          <w:szCs w:val="24"/>
        </w:rPr>
        <w:t xml:space="preserve"> Comuni </w:t>
      </w:r>
      <w:r w:rsidRPr="004B09BA">
        <w:rPr>
          <w:rFonts w:ascii="Bookman Old Style" w:hAnsi="Bookman Old Style"/>
          <w:b/>
          <w:bCs/>
          <w:sz w:val="24"/>
          <w:szCs w:val="24"/>
        </w:rPr>
        <w:t>destinatari di politiche restrittive</w:t>
      </w:r>
      <w:r w:rsidR="001D60EF" w:rsidRPr="004B09BA">
        <w:rPr>
          <w:rFonts w:ascii="Bookman Old Style" w:hAnsi="Bookman Old Style"/>
          <w:b/>
          <w:bCs/>
          <w:sz w:val="24"/>
          <w:szCs w:val="24"/>
        </w:rPr>
        <w:t xml:space="preserve"> senza </w:t>
      </w:r>
      <w:r w:rsidRPr="004B09BA">
        <w:rPr>
          <w:rFonts w:ascii="Bookman Old Style" w:hAnsi="Bookman Old Style"/>
          <w:b/>
          <w:bCs/>
          <w:sz w:val="24"/>
          <w:szCs w:val="24"/>
        </w:rPr>
        <w:t>precedenti</w:t>
      </w:r>
      <w:r w:rsidRPr="00E65025">
        <w:rPr>
          <w:rFonts w:ascii="Bookman Old Style" w:hAnsi="Bookman Old Style"/>
          <w:sz w:val="24"/>
          <w:szCs w:val="24"/>
        </w:rPr>
        <w:t>, quantificat</w:t>
      </w:r>
      <w:r w:rsidR="00214CA9" w:rsidRPr="00E65025">
        <w:rPr>
          <w:rFonts w:ascii="Bookman Old Style" w:hAnsi="Bookman Old Style"/>
          <w:sz w:val="24"/>
          <w:szCs w:val="24"/>
        </w:rPr>
        <w:t>e in oltre 12 miliardi di euro,</w:t>
      </w:r>
      <w:r w:rsidRPr="00E65025">
        <w:rPr>
          <w:rFonts w:ascii="Bookman Old Style" w:hAnsi="Bookman Old Style"/>
          <w:sz w:val="24"/>
          <w:szCs w:val="24"/>
        </w:rPr>
        <w:t xml:space="preserve"> </w:t>
      </w:r>
      <w:r w:rsidR="0000152E">
        <w:rPr>
          <w:rFonts w:ascii="Bookman Old Style" w:hAnsi="Bookman Old Style"/>
          <w:sz w:val="24"/>
          <w:szCs w:val="24"/>
        </w:rPr>
        <w:t>tra il 201</w:t>
      </w:r>
      <w:r w:rsidR="00F12F2B">
        <w:rPr>
          <w:rFonts w:ascii="Bookman Old Style" w:hAnsi="Bookman Old Style"/>
          <w:sz w:val="24"/>
          <w:szCs w:val="24"/>
        </w:rPr>
        <w:t>0</w:t>
      </w:r>
      <w:r w:rsidR="0000152E">
        <w:rPr>
          <w:rFonts w:ascii="Bookman Old Style" w:hAnsi="Bookman Old Style"/>
          <w:sz w:val="24"/>
          <w:szCs w:val="24"/>
        </w:rPr>
        <w:t xml:space="preserve"> e il 2015, </w:t>
      </w:r>
      <w:r w:rsidRPr="00E65025">
        <w:rPr>
          <w:rFonts w:ascii="Bookman Old Style" w:hAnsi="Bookman Old Style"/>
          <w:sz w:val="24"/>
          <w:szCs w:val="24"/>
        </w:rPr>
        <w:t xml:space="preserve">nonché da </w:t>
      </w:r>
      <w:r w:rsidR="001D60EF" w:rsidRPr="00E65025">
        <w:rPr>
          <w:rFonts w:ascii="Bookman Old Style" w:hAnsi="Bookman Old Style"/>
          <w:sz w:val="24"/>
          <w:szCs w:val="24"/>
        </w:rPr>
        <w:t>incessanti cambiamenti del regime delle entrate proprie,</w:t>
      </w:r>
      <w:r w:rsidRPr="00E65025">
        <w:rPr>
          <w:rFonts w:ascii="Bookman Old Style" w:hAnsi="Bookman Old Style"/>
          <w:sz w:val="24"/>
          <w:szCs w:val="24"/>
        </w:rPr>
        <w:t xml:space="preserve"> che hanno min</w:t>
      </w:r>
      <w:r w:rsidR="00D66EC6" w:rsidRPr="00E65025">
        <w:rPr>
          <w:rFonts w:ascii="Bookman Old Style" w:hAnsi="Bookman Old Style"/>
          <w:sz w:val="24"/>
          <w:szCs w:val="24"/>
        </w:rPr>
        <w:t>ato l’obiettivo di</w:t>
      </w:r>
      <w:r w:rsidRPr="00E65025">
        <w:rPr>
          <w:rFonts w:ascii="Bookman Old Style" w:hAnsi="Bookman Old Style"/>
          <w:sz w:val="24"/>
          <w:szCs w:val="24"/>
        </w:rPr>
        <w:t xml:space="preserve"> stabilità e </w:t>
      </w:r>
      <w:r w:rsidR="00D66EC6" w:rsidRPr="00E65025">
        <w:rPr>
          <w:rFonts w:ascii="Bookman Old Style" w:hAnsi="Bookman Old Style"/>
          <w:sz w:val="24"/>
          <w:szCs w:val="24"/>
        </w:rPr>
        <w:t xml:space="preserve">certezza dell’assetto finanziario comunale che era allo stesso tempo presupposto ed obiettivo della legge </w:t>
      </w:r>
      <w:r w:rsidR="00214CA9" w:rsidRPr="00E65025">
        <w:rPr>
          <w:rFonts w:ascii="Bookman Old Style" w:hAnsi="Bookman Old Style"/>
          <w:sz w:val="24"/>
          <w:szCs w:val="24"/>
        </w:rPr>
        <w:t>delega sul federalismo fiscale</w:t>
      </w:r>
      <w:r w:rsidR="00D66EC6" w:rsidRPr="00E65025">
        <w:rPr>
          <w:rFonts w:ascii="Bookman Old Style" w:hAnsi="Bookman Old Style"/>
          <w:sz w:val="24"/>
          <w:szCs w:val="24"/>
        </w:rPr>
        <w:t>.</w:t>
      </w:r>
      <w:r w:rsidRPr="00E65025">
        <w:rPr>
          <w:rFonts w:ascii="Bookman Old Style" w:hAnsi="Bookman Old Style"/>
          <w:sz w:val="24"/>
          <w:szCs w:val="24"/>
        </w:rPr>
        <w:t xml:space="preserve"> </w:t>
      </w:r>
    </w:p>
    <w:p w14:paraId="3E299E95" w14:textId="706B7BD5" w:rsidR="00EA7E50" w:rsidRPr="00E65025" w:rsidRDefault="00AE2EC8" w:rsidP="001D0B66">
      <w:pPr>
        <w:spacing w:after="120" w:line="264" w:lineRule="auto"/>
        <w:jc w:val="both"/>
        <w:rPr>
          <w:rFonts w:ascii="Bookman Old Style" w:hAnsi="Bookman Old Style"/>
          <w:sz w:val="24"/>
          <w:szCs w:val="24"/>
        </w:rPr>
      </w:pPr>
      <w:r>
        <w:rPr>
          <w:rFonts w:ascii="Bookman Old Style" w:hAnsi="Bookman Old Style"/>
          <w:sz w:val="24"/>
          <w:szCs w:val="24"/>
        </w:rPr>
        <w:lastRenderedPageBreak/>
        <w:t xml:space="preserve">A fronte dell’allentamento dei vincoli del vecchio patto di stabilità e della fine dei tagli, sono intervenuti dal 2015 </w:t>
      </w:r>
      <w:r w:rsidR="00214CA9" w:rsidRPr="00E65025">
        <w:rPr>
          <w:rFonts w:ascii="Bookman Old Style" w:hAnsi="Bookman Old Style"/>
          <w:sz w:val="24"/>
          <w:szCs w:val="24"/>
        </w:rPr>
        <w:t xml:space="preserve">gli </w:t>
      </w:r>
      <w:r w:rsidR="00214CA9" w:rsidRPr="004B09BA">
        <w:rPr>
          <w:rFonts w:ascii="Bookman Old Style" w:hAnsi="Bookman Old Style"/>
          <w:b/>
          <w:bCs/>
          <w:sz w:val="24"/>
          <w:szCs w:val="24"/>
        </w:rPr>
        <w:t>effetti restrittivi della nuova contabilità armonizzata</w:t>
      </w:r>
      <w:r w:rsidR="0000152E">
        <w:rPr>
          <w:rFonts w:ascii="Bookman Old Style" w:hAnsi="Bookman Old Style"/>
          <w:sz w:val="24"/>
          <w:szCs w:val="24"/>
        </w:rPr>
        <w:t xml:space="preserve">, </w:t>
      </w:r>
      <w:r w:rsidR="00214CA9" w:rsidRPr="00E65025">
        <w:rPr>
          <w:rFonts w:ascii="Bookman Old Style" w:hAnsi="Bookman Old Style"/>
          <w:sz w:val="24"/>
          <w:szCs w:val="24"/>
        </w:rPr>
        <w:t xml:space="preserve">in particolare per opera del </w:t>
      </w:r>
      <w:r w:rsidR="00214CA9" w:rsidRPr="004B09BA">
        <w:rPr>
          <w:rFonts w:ascii="Bookman Old Style" w:hAnsi="Bookman Old Style"/>
          <w:b/>
          <w:bCs/>
          <w:sz w:val="24"/>
          <w:szCs w:val="24"/>
        </w:rPr>
        <w:t>Fondo crediti di dubbia esigibilità (FCDE)</w:t>
      </w:r>
      <w:r w:rsidR="00214CA9" w:rsidRPr="00E65025">
        <w:rPr>
          <w:rFonts w:ascii="Bookman Old Style" w:hAnsi="Bookman Old Style"/>
          <w:sz w:val="24"/>
          <w:szCs w:val="24"/>
        </w:rPr>
        <w:t xml:space="preserve"> che impone oggi al comparto di non utilizzare un ammontare di entrate accertate per oltre 4</w:t>
      </w:r>
      <w:r w:rsidR="00DF2D79">
        <w:rPr>
          <w:rFonts w:ascii="Bookman Old Style" w:hAnsi="Bookman Old Style"/>
          <w:sz w:val="24"/>
          <w:szCs w:val="24"/>
        </w:rPr>
        <w:t>,5</w:t>
      </w:r>
      <w:r w:rsidR="00214CA9" w:rsidRPr="00E65025">
        <w:rPr>
          <w:rFonts w:ascii="Bookman Old Style" w:hAnsi="Bookman Old Style"/>
          <w:sz w:val="24"/>
          <w:szCs w:val="24"/>
        </w:rPr>
        <w:t xml:space="preserve"> miliardi di euro annui in ragione della scarsa probabilità di </w:t>
      </w:r>
      <w:r w:rsidR="0000152E">
        <w:rPr>
          <w:rFonts w:ascii="Bookman Old Style" w:hAnsi="Bookman Old Style"/>
          <w:sz w:val="24"/>
          <w:szCs w:val="24"/>
        </w:rPr>
        <w:t>riscossione delle entrate proprie</w:t>
      </w:r>
      <w:r w:rsidR="00214CA9" w:rsidRPr="00E65025">
        <w:rPr>
          <w:rFonts w:ascii="Bookman Old Style" w:hAnsi="Bookman Old Style"/>
          <w:sz w:val="24"/>
          <w:szCs w:val="24"/>
        </w:rPr>
        <w:t>.</w:t>
      </w:r>
    </w:p>
    <w:p w14:paraId="5DB58AAD" w14:textId="5723DBBC" w:rsidR="001149BB" w:rsidRPr="00E65025" w:rsidRDefault="00D66EC6"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t>Di fatto</w:t>
      </w:r>
      <w:r w:rsidR="0000152E">
        <w:rPr>
          <w:rFonts w:ascii="Bookman Old Style" w:hAnsi="Bookman Old Style"/>
          <w:sz w:val="24"/>
          <w:szCs w:val="24"/>
        </w:rPr>
        <w:t>,</w:t>
      </w:r>
      <w:r w:rsidRPr="00E65025">
        <w:rPr>
          <w:rFonts w:ascii="Bookman Old Style" w:hAnsi="Bookman Old Style"/>
          <w:sz w:val="24"/>
          <w:szCs w:val="24"/>
        </w:rPr>
        <w:t xml:space="preserve"> la crisi finanziaria ha segnato un “prima” e un “dopo” rispetto al quale l’impianto</w:t>
      </w:r>
      <w:r w:rsidR="00CD3AA5" w:rsidRPr="00E65025">
        <w:rPr>
          <w:rFonts w:ascii="Bookman Old Style" w:hAnsi="Bookman Old Style"/>
          <w:sz w:val="24"/>
          <w:szCs w:val="24"/>
        </w:rPr>
        <w:t xml:space="preserve"> stesso</w:t>
      </w:r>
      <w:r w:rsidRPr="00E65025">
        <w:rPr>
          <w:rFonts w:ascii="Bookman Old Style" w:hAnsi="Bookman Old Style"/>
          <w:sz w:val="24"/>
          <w:szCs w:val="24"/>
        </w:rPr>
        <w:t xml:space="preserve"> e gli obiettivi </w:t>
      </w:r>
      <w:r w:rsidR="00CD3AA5" w:rsidRPr="00E65025">
        <w:rPr>
          <w:rFonts w:ascii="Bookman Old Style" w:hAnsi="Bookman Old Style"/>
          <w:sz w:val="24"/>
          <w:szCs w:val="24"/>
        </w:rPr>
        <w:t>della</w:t>
      </w:r>
      <w:r w:rsidRPr="00E65025">
        <w:rPr>
          <w:rFonts w:ascii="Bookman Old Style" w:hAnsi="Bookman Old Style"/>
          <w:sz w:val="24"/>
          <w:szCs w:val="24"/>
        </w:rPr>
        <w:t xml:space="preserve"> riforma</w:t>
      </w:r>
      <w:r w:rsidR="004B09BA">
        <w:rPr>
          <w:rFonts w:ascii="Bookman Old Style" w:hAnsi="Bookman Old Style"/>
          <w:sz w:val="24"/>
          <w:szCs w:val="24"/>
        </w:rPr>
        <w:t>, pensati in un contesto completamente diverso,</w:t>
      </w:r>
      <w:r w:rsidRPr="00E65025">
        <w:rPr>
          <w:rFonts w:ascii="Bookman Old Style" w:hAnsi="Bookman Old Style"/>
          <w:sz w:val="24"/>
          <w:szCs w:val="24"/>
        </w:rPr>
        <w:t xml:space="preserve"> sono </w:t>
      </w:r>
      <w:r w:rsidR="008D7016">
        <w:rPr>
          <w:rFonts w:ascii="Bookman Old Style" w:hAnsi="Bookman Old Style"/>
          <w:sz w:val="24"/>
          <w:szCs w:val="24"/>
        </w:rPr>
        <w:t xml:space="preserve">poi </w:t>
      </w:r>
      <w:r w:rsidRPr="00E65025">
        <w:rPr>
          <w:rFonts w:ascii="Bookman Old Style" w:hAnsi="Bookman Old Style"/>
          <w:sz w:val="24"/>
          <w:szCs w:val="24"/>
        </w:rPr>
        <w:t>rimast</w:t>
      </w:r>
      <w:r w:rsidR="00CD3AA5" w:rsidRPr="00E65025">
        <w:rPr>
          <w:rFonts w:ascii="Bookman Old Style" w:hAnsi="Bookman Old Style"/>
          <w:sz w:val="24"/>
          <w:szCs w:val="24"/>
        </w:rPr>
        <w:t>i</w:t>
      </w:r>
      <w:r w:rsidRPr="00E65025">
        <w:rPr>
          <w:rFonts w:ascii="Bookman Old Style" w:hAnsi="Bookman Old Style"/>
          <w:sz w:val="24"/>
          <w:szCs w:val="24"/>
        </w:rPr>
        <w:t xml:space="preserve"> in gran parte disattesi,</w:t>
      </w:r>
      <w:r w:rsidR="00F12F2B">
        <w:rPr>
          <w:rFonts w:ascii="Bookman Old Style" w:hAnsi="Bookman Old Style"/>
          <w:sz w:val="24"/>
          <w:szCs w:val="24"/>
        </w:rPr>
        <w:t xml:space="preserve"> ovvero attuati parzialmente</w:t>
      </w:r>
      <w:r w:rsidR="00CE0CFE">
        <w:rPr>
          <w:rFonts w:ascii="Bookman Old Style" w:hAnsi="Bookman Old Style"/>
          <w:sz w:val="24"/>
          <w:szCs w:val="24"/>
        </w:rPr>
        <w:t xml:space="preserve"> </w:t>
      </w:r>
      <w:r w:rsidR="00F12F2B">
        <w:rPr>
          <w:rFonts w:ascii="Bookman Old Style" w:hAnsi="Bookman Old Style"/>
          <w:sz w:val="24"/>
          <w:szCs w:val="24"/>
        </w:rPr>
        <w:t>solo per la parte riguardante gli ambiti funzionali al contenimento dell’autonomia di entrata e di spesa.</w:t>
      </w:r>
      <w:r w:rsidR="00CE0CFE">
        <w:rPr>
          <w:rFonts w:ascii="Bookman Old Style" w:hAnsi="Bookman Old Style"/>
          <w:sz w:val="24"/>
          <w:szCs w:val="24"/>
        </w:rPr>
        <w:t xml:space="preserve"> </w:t>
      </w:r>
    </w:p>
    <w:p w14:paraId="1895F2CE" w14:textId="113FB793" w:rsidR="008B6255" w:rsidRPr="00E65025" w:rsidRDefault="00CD3AA5" w:rsidP="001D0B66">
      <w:pPr>
        <w:spacing w:after="120" w:line="264" w:lineRule="auto"/>
        <w:jc w:val="both"/>
        <w:rPr>
          <w:rFonts w:ascii="Bookman Old Style" w:hAnsi="Bookman Old Style"/>
          <w:sz w:val="24"/>
          <w:szCs w:val="24"/>
        </w:rPr>
      </w:pPr>
      <w:r w:rsidRPr="00E65025">
        <w:rPr>
          <w:rFonts w:ascii="Bookman Old Style" w:hAnsi="Bookman Old Style"/>
          <w:b/>
          <w:sz w:val="24"/>
          <w:szCs w:val="24"/>
        </w:rPr>
        <w:t>Ne hanno fatto le spese soprattutto i principi di autonomia finanziaria e di correlazione tra prelievo fiscale e servizi al territorio</w:t>
      </w:r>
      <w:r w:rsidR="00F12F2B">
        <w:rPr>
          <w:rFonts w:ascii="Bookman Old Style" w:hAnsi="Bookman Old Style"/>
          <w:sz w:val="24"/>
          <w:szCs w:val="24"/>
        </w:rPr>
        <w:t xml:space="preserve">, e più in generale un </w:t>
      </w:r>
      <w:r w:rsidR="00DA22B2">
        <w:rPr>
          <w:rFonts w:ascii="Bookman Old Style" w:hAnsi="Bookman Old Style"/>
          <w:sz w:val="24"/>
          <w:szCs w:val="24"/>
        </w:rPr>
        <w:t>complessivo disallineamento fra Costituzione, legge attuativa della Costituzione e legislazione annuale di bilancio. Ciò ha portato ad una generale “disaffezione” verso i principi fondamentali che reggono il funzionamento finanziario degli enti territoriali, spesso avallata sulla base del richiamo a formule consolidate dalla giurisprudenza costituzionale, che riteniamo vada contrastato.</w:t>
      </w:r>
      <w:r w:rsidRPr="00E65025">
        <w:rPr>
          <w:rFonts w:ascii="Bookman Old Style" w:hAnsi="Bookman Old Style"/>
          <w:sz w:val="24"/>
          <w:szCs w:val="24"/>
        </w:rPr>
        <w:t xml:space="preserve"> </w:t>
      </w:r>
      <w:r w:rsidR="008B6255" w:rsidRPr="00E65025">
        <w:rPr>
          <w:rFonts w:ascii="Bookman Old Style" w:hAnsi="Bookman Old Style"/>
          <w:sz w:val="24"/>
          <w:szCs w:val="24"/>
        </w:rPr>
        <w:t xml:space="preserve">Gli interventi sulla finanza locale attuati a seguito della crisi </w:t>
      </w:r>
      <w:r w:rsidRPr="00E65025">
        <w:rPr>
          <w:rFonts w:ascii="Bookman Old Style" w:hAnsi="Bookman Old Style"/>
          <w:sz w:val="24"/>
          <w:szCs w:val="24"/>
        </w:rPr>
        <w:t xml:space="preserve">hanno </w:t>
      </w:r>
      <w:r w:rsidR="001149BB" w:rsidRPr="00E65025">
        <w:rPr>
          <w:rFonts w:ascii="Bookman Old Style" w:hAnsi="Bookman Old Style"/>
          <w:sz w:val="24"/>
          <w:szCs w:val="24"/>
        </w:rPr>
        <w:t xml:space="preserve">infatti </w:t>
      </w:r>
      <w:r w:rsidRPr="00E65025">
        <w:rPr>
          <w:rFonts w:ascii="Bookman Old Style" w:hAnsi="Bookman Old Style"/>
          <w:sz w:val="24"/>
          <w:szCs w:val="24"/>
        </w:rPr>
        <w:t>portato ad un assetto caratterizzato da minore autonomia</w:t>
      </w:r>
      <w:r w:rsidR="00DA22B2">
        <w:rPr>
          <w:rFonts w:ascii="Bookman Old Style" w:hAnsi="Bookman Old Style"/>
          <w:sz w:val="24"/>
          <w:szCs w:val="24"/>
        </w:rPr>
        <w:t>, minore responsabilità</w:t>
      </w:r>
      <w:r w:rsidRPr="00E65025">
        <w:rPr>
          <w:rFonts w:ascii="Bookman Old Style" w:hAnsi="Bookman Old Style"/>
          <w:sz w:val="24"/>
          <w:szCs w:val="24"/>
        </w:rPr>
        <w:t xml:space="preserve"> e da ridotti margini di agibilità sui prelievi</w:t>
      </w:r>
      <w:r w:rsidR="008B6255" w:rsidRPr="00E65025">
        <w:rPr>
          <w:rFonts w:ascii="Bookman Old Style" w:hAnsi="Bookman Old Style"/>
          <w:sz w:val="24"/>
          <w:szCs w:val="24"/>
        </w:rPr>
        <w:t>:</w:t>
      </w:r>
    </w:p>
    <w:p w14:paraId="0BAC187E" w14:textId="68711B82" w:rsidR="00F12F2B" w:rsidRDefault="00DA22B2" w:rsidP="001D0B66">
      <w:pPr>
        <w:pStyle w:val="Paragrafoelenco"/>
        <w:numPr>
          <w:ilvl w:val="0"/>
          <w:numId w:val="1"/>
        </w:numPr>
        <w:spacing w:after="120" w:line="264" w:lineRule="auto"/>
        <w:contextualSpacing w:val="0"/>
        <w:jc w:val="both"/>
        <w:rPr>
          <w:rFonts w:ascii="Bookman Old Style" w:hAnsi="Bookman Old Style"/>
          <w:sz w:val="24"/>
          <w:szCs w:val="24"/>
        </w:rPr>
      </w:pPr>
      <w:r>
        <w:rPr>
          <w:rFonts w:ascii="Bookman Old Style" w:hAnsi="Bookman Old Style"/>
          <w:sz w:val="24"/>
          <w:szCs w:val="24"/>
        </w:rPr>
        <w:t>l’</w:t>
      </w:r>
      <w:r w:rsidR="00F12F2B">
        <w:rPr>
          <w:rFonts w:ascii="Bookman Old Style" w:hAnsi="Bookman Old Style"/>
          <w:sz w:val="24"/>
          <w:szCs w:val="24"/>
        </w:rPr>
        <w:t>assenza di un paniere ampio di compartecipazioni ai tributi erariali e tributi propri in difformità a quanto previsto dall’articolo 119 e dalla legge di attuazione del federalismo fiscale;</w:t>
      </w:r>
    </w:p>
    <w:p w14:paraId="6F64F33B" w14:textId="2F3201ED" w:rsidR="00DA22B2" w:rsidRDefault="00DA22B2" w:rsidP="001D0B66">
      <w:pPr>
        <w:pStyle w:val="Paragrafoelenco"/>
        <w:numPr>
          <w:ilvl w:val="0"/>
          <w:numId w:val="1"/>
        </w:numPr>
        <w:spacing w:after="120" w:line="264" w:lineRule="auto"/>
        <w:contextualSpacing w:val="0"/>
        <w:jc w:val="both"/>
        <w:rPr>
          <w:rFonts w:ascii="Bookman Old Style" w:hAnsi="Bookman Old Style"/>
          <w:sz w:val="24"/>
          <w:szCs w:val="24"/>
        </w:rPr>
      </w:pPr>
      <w:r>
        <w:rPr>
          <w:rFonts w:ascii="Bookman Old Style" w:hAnsi="Bookman Old Style"/>
          <w:sz w:val="24"/>
          <w:szCs w:val="24"/>
        </w:rPr>
        <w:t>una confusa ed incompleta attuazione della regola del finanziamento integrale delle funzioni pubbliche assegnate a ciascun livello di governo;</w:t>
      </w:r>
    </w:p>
    <w:p w14:paraId="2C80A236" w14:textId="73ACCF04" w:rsidR="00417F52" w:rsidRDefault="00417F52" w:rsidP="001D0B66">
      <w:pPr>
        <w:pStyle w:val="Paragrafoelenco"/>
        <w:numPr>
          <w:ilvl w:val="0"/>
          <w:numId w:val="1"/>
        </w:numPr>
        <w:spacing w:after="120" w:line="264" w:lineRule="auto"/>
        <w:contextualSpacing w:val="0"/>
        <w:jc w:val="both"/>
        <w:rPr>
          <w:rFonts w:ascii="Bookman Old Style" w:hAnsi="Bookman Old Style"/>
          <w:sz w:val="24"/>
          <w:szCs w:val="24"/>
        </w:rPr>
      </w:pPr>
      <w:r>
        <w:rPr>
          <w:rFonts w:ascii="Bookman Old Style" w:hAnsi="Bookman Old Style"/>
          <w:sz w:val="24"/>
          <w:szCs w:val="24"/>
        </w:rPr>
        <w:t>la mancata attuazione di previsioni regolate negli appositi decreti legislativi, fra cui si evidenzia ad esempio la mancata adozione del DPCM quale fonte istitutiva del finanziamento autonomo delle funzioni fondamentali assegnate dal legislatore statale ad un ente costitutivo della Repubblica, le Città metropolitane;</w:t>
      </w:r>
    </w:p>
    <w:p w14:paraId="4B908826" w14:textId="5618ACDA" w:rsidR="008B6255" w:rsidRPr="00E65025" w:rsidRDefault="008B6255" w:rsidP="001D0B66">
      <w:pPr>
        <w:pStyle w:val="Paragrafoelenco"/>
        <w:numPr>
          <w:ilvl w:val="0"/>
          <w:numId w:val="1"/>
        </w:numPr>
        <w:spacing w:after="120" w:line="264" w:lineRule="auto"/>
        <w:contextualSpacing w:val="0"/>
        <w:jc w:val="both"/>
        <w:rPr>
          <w:rFonts w:ascii="Bookman Old Style" w:hAnsi="Bookman Old Style"/>
          <w:sz w:val="24"/>
          <w:szCs w:val="24"/>
        </w:rPr>
      </w:pPr>
      <w:r w:rsidRPr="00E65025">
        <w:rPr>
          <w:rFonts w:ascii="Bookman Old Style" w:hAnsi="Bookman Old Style"/>
          <w:sz w:val="24"/>
          <w:szCs w:val="24"/>
        </w:rPr>
        <w:t xml:space="preserve">l’incremento </w:t>
      </w:r>
      <w:r w:rsidRPr="00E65025">
        <w:rPr>
          <w:rFonts w:ascii="Bookman Old Style" w:hAnsi="Bookman Old Style"/>
          <w:i/>
          <w:sz w:val="24"/>
          <w:szCs w:val="24"/>
        </w:rPr>
        <w:t>ex lege</w:t>
      </w:r>
      <w:r w:rsidRPr="00E65025">
        <w:rPr>
          <w:rFonts w:ascii="Bookman Old Style" w:hAnsi="Bookman Old Style"/>
          <w:sz w:val="24"/>
          <w:szCs w:val="24"/>
        </w:rPr>
        <w:t xml:space="preserve"> delle basi imponibili del principale tributo comunale (IMU) è stato in gran parte trattenuto dallo Stato per le esigenze di</w:t>
      </w:r>
      <w:r w:rsidR="004B16C1">
        <w:rPr>
          <w:rFonts w:ascii="Bookman Old Style" w:hAnsi="Bookman Old Style"/>
          <w:sz w:val="24"/>
          <w:szCs w:val="24"/>
        </w:rPr>
        <w:t xml:space="preserve"> </w:t>
      </w:r>
      <w:r w:rsidRPr="00E65025">
        <w:rPr>
          <w:rFonts w:ascii="Bookman Old Style" w:hAnsi="Bookman Old Style"/>
          <w:sz w:val="24"/>
          <w:szCs w:val="24"/>
        </w:rPr>
        <w:t>risanamento dei conti pubblici;</w:t>
      </w:r>
    </w:p>
    <w:p w14:paraId="02C4064E" w14:textId="77777777" w:rsidR="008B6255" w:rsidRPr="00E65025" w:rsidRDefault="00752224" w:rsidP="001D0B66">
      <w:pPr>
        <w:pStyle w:val="Paragrafoelenco"/>
        <w:numPr>
          <w:ilvl w:val="0"/>
          <w:numId w:val="1"/>
        </w:numPr>
        <w:spacing w:after="120" w:line="264" w:lineRule="auto"/>
        <w:contextualSpacing w:val="0"/>
        <w:jc w:val="both"/>
        <w:rPr>
          <w:rFonts w:ascii="Bookman Old Style" w:hAnsi="Bookman Old Style"/>
          <w:sz w:val="24"/>
          <w:szCs w:val="24"/>
        </w:rPr>
      </w:pPr>
      <w:r w:rsidRPr="00E65025">
        <w:rPr>
          <w:rFonts w:ascii="Bookman Old Style" w:hAnsi="Bookman Old Style"/>
          <w:sz w:val="24"/>
          <w:szCs w:val="24"/>
        </w:rPr>
        <w:t xml:space="preserve">la sostituzione </w:t>
      </w:r>
      <w:r w:rsidR="009B77E8" w:rsidRPr="00E65025">
        <w:rPr>
          <w:rFonts w:ascii="Bookman Old Style" w:hAnsi="Bookman Old Style"/>
          <w:sz w:val="24"/>
          <w:szCs w:val="24"/>
        </w:rPr>
        <w:t xml:space="preserve">con trasferimenti statali </w:t>
      </w:r>
      <w:r w:rsidRPr="00E65025">
        <w:rPr>
          <w:rFonts w:ascii="Bookman Old Style" w:hAnsi="Bookman Old Style"/>
          <w:sz w:val="24"/>
          <w:szCs w:val="24"/>
        </w:rPr>
        <w:t>del</w:t>
      </w:r>
      <w:r w:rsidR="008B6255" w:rsidRPr="00E65025">
        <w:rPr>
          <w:rFonts w:ascii="Bookman Old Style" w:hAnsi="Bookman Old Style"/>
          <w:sz w:val="24"/>
          <w:szCs w:val="24"/>
        </w:rPr>
        <w:t xml:space="preserve"> minor gettito derivante dal venir meno dell’imposizione sulle abitazioni principali di IMU e Tasi</w:t>
      </w:r>
      <w:r w:rsidRPr="00E65025">
        <w:rPr>
          <w:rFonts w:ascii="Bookman Old Style" w:hAnsi="Bookman Old Style"/>
          <w:sz w:val="24"/>
          <w:szCs w:val="24"/>
        </w:rPr>
        <w:t xml:space="preserve"> </w:t>
      </w:r>
      <w:r w:rsidR="008B6255" w:rsidRPr="00E65025">
        <w:rPr>
          <w:rFonts w:ascii="Bookman Old Style" w:hAnsi="Bookman Old Style"/>
          <w:sz w:val="24"/>
          <w:szCs w:val="24"/>
        </w:rPr>
        <w:t>ha ulteriormente irrigidito i margini di manovra sui gettiti fiscali;</w:t>
      </w:r>
    </w:p>
    <w:p w14:paraId="33FD2540" w14:textId="5FED81EC" w:rsidR="004B09BA" w:rsidRDefault="006B315D" w:rsidP="001D0B66">
      <w:pPr>
        <w:pStyle w:val="Paragrafoelenco"/>
        <w:numPr>
          <w:ilvl w:val="0"/>
          <w:numId w:val="1"/>
        </w:numPr>
        <w:spacing w:after="120" w:line="264" w:lineRule="auto"/>
        <w:contextualSpacing w:val="0"/>
        <w:jc w:val="both"/>
        <w:rPr>
          <w:rFonts w:ascii="Bookman Old Style" w:hAnsi="Bookman Old Style"/>
          <w:sz w:val="24"/>
          <w:szCs w:val="24"/>
        </w:rPr>
      </w:pPr>
      <w:r w:rsidRPr="00E65025">
        <w:rPr>
          <w:rFonts w:ascii="Bookman Old Style" w:hAnsi="Bookman Old Style"/>
          <w:sz w:val="24"/>
          <w:szCs w:val="24"/>
        </w:rPr>
        <w:t>il</w:t>
      </w:r>
      <w:r w:rsidR="008B6255" w:rsidRPr="00E65025">
        <w:rPr>
          <w:rFonts w:ascii="Bookman Old Style" w:hAnsi="Bookman Old Style"/>
          <w:sz w:val="24"/>
          <w:szCs w:val="24"/>
        </w:rPr>
        <w:t xml:space="preserve"> blocco delle aliquote</w:t>
      </w:r>
      <w:r w:rsidRPr="00E65025">
        <w:rPr>
          <w:rFonts w:ascii="Bookman Old Style" w:hAnsi="Bookman Old Style"/>
          <w:sz w:val="24"/>
          <w:szCs w:val="24"/>
        </w:rPr>
        <w:t xml:space="preserve"> </w:t>
      </w:r>
      <w:r w:rsidR="004B16C1">
        <w:rPr>
          <w:rFonts w:ascii="Bookman Old Style" w:hAnsi="Bookman Old Style"/>
          <w:sz w:val="24"/>
          <w:szCs w:val="24"/>
        </w:rPr>
        <w:t>(2016-18)</w:t>
      </w:r>
      <w:r w:rsidR="0000152E">
        <w:rPr>
          <w:rFonts w:ascii="Bookman Old Style" w:hAnsi="Bookman Old Style"/>
          <w:sz w:val="24"/>
          <w:szCs w:val="24"/>
        </w:rPr>
        <w:t>,</w:t>
      </w:r>
      <w:r w:rsidR="004B16C1">
        <w:rPr>
          <w:rFonts w:ascii="Bookman Old Style" w:hAnsi="Bookman Old Style"/>
          <w:sz w:val="24"/>
          <w:szCs w:val="24"/>
        </w:rPr>
        <w:t xml:space="preserve"> </w:t>
      </w:r>
      <w:r w:rsidRPr="00E65025">
        <w:rPr>
          <w:rFonts w:ascii="Bookman Old Style" w:hAnsi="Bookman Old Style"/>
          <w:sz w:val="24"/>
          <w:szCs w:val="24"/>
        </w:rPr>
        <w:t xml:space="preserve">oltre ad essere decisamente </w:t>
      </w:r>
      <w:r w:rsidR="008B6255" w:rsidRPr="00E65025">
        <w:rPr>
          <w:rFonts w:ascii="Bookman Old Style" w:hAnsi="Bookman Old Style"/>
          <w:sz w:val="24"/>
          <w:szCs w:val="24"/>
        </w:rPr>
        <w:t>in contrasto con i</w:t>
      </w:r>
      <w:r w:rsidRPr="00E65025">
        <w:rPr>
          <w:rFonts w:ascii="Bookman Old Style" w:hAnsi="Bookman Old Style"/>
          <w:sz w:val="24"/>
          <w:szCs w:val="24"/>
        </w:rPr>
        <w:t xml:space="preserve"> principi </w:t>
      </w:r>
      <w:r w:rsidR="0000152E">
        <w:rPr>
          <w:rFonts w:ascii="Bookman Old Style" w:hAnsi="Bookman Old Style"/>
          <w:sz w:val="24"/>
          <w:szCs w:val="24"/>
        </w:rPr>
        <w:t xml:space="preserve">di autonomia e con la stessa perequazione, </w:t>
      </w:r>
      <w:r w:rsidR="008B6255" w:rsidRPr="00E65025">
        <w:rPr>
          <w:rFonts w:ascii="Bookman Old Style" w:hAnsi="Bookman Old Style"/>
          <w:sz w:val="24"/>
          <w:szCs w:val="24"/>
        </w:rPr>
        <w:t>ha</w:t>
      </w:r>
      <w:r w:rsidRPr="00E65025">
        <w:rPr>
          <w:rFonts w:ascii="Bookman Old Style" w:hAnsi="Bookman Old Style"/>
          <w:sz w:val="24"/>
          <w:szCs w:val="24"/>
        </w:rPr>
        <w:t xml:space="preserve"> altresì</w:t>
      </w:r>
      <w:r w:rsidR="008B6255" w:rsidRPr="00E65025">
        <w:rPr>
          <w:rFonts w:ascii="Bookman Old Style" w:hAnsi="Bookman Old Style"/>
          <w:sz w:val="24"/>
          <w:szCs w:val="24"/>
        </w:rPr>
        <w:t xml:space="preserve"> accentuato le sperequazioni tra i gettiti fiscali</w:t>
      </w:r>
      <w:r w:rsidR="008D7016">
        <w:rPr>
          <w:rFonts w:ascii="Bookman Old Style" w:hAnsi="Bookman Old Style"/>
          <w:sz w:val="24"/>
          <w:szCs w:val="24"/>
        </w:rPr>
        <w:t>;</w:t>
      </w:r>
    </w:p>
    <w:p w14:paraId="03F2AB85" w14:textId="014B4407" w:rsidR="008D7016" w:rsidRPr="008D7016" w:rsidRDefault="008D7016" w:rsidP="001D0B66">
      <w:pPr>
        <w:pStyle w:val="Paragrafoelenco"/>
        <w:numPr>
          <w:ilvl w:val="0"/>
          <w:numId w:val="1"/>
        </w:numPr>
        <w:spacing w:after="120" w:line="264" w:lineRule="auto"/>
        <w:contextualSpacing w:val="0"/>
        <w:jc w:val="both"/>
        <w:rPr>
          <w:rFonts w:ascii="Bookman Old Style" w:hAnsi="Bookman Old Style"/>
          <w:sz w:val="24"/>
          <w:szCs w:val="24"/>
        </w:rPr>
      </w:pPr>
      <w:r>
        <w:rPr>
          <w:rFonts w:ascii="Bookman Old Style" w:hAnsi="Bookman Old Style"/>
          <w:sz w:val="24"/>
          <w:szCs w:val="24"/>
        </w:rPr>
        <w:t xml:space="preserve">il sistema perequativo si limita a ripartire tra i Comuni un ammontare dato </w:t>
      </w:r>
      <w:r w:rsidR="004B16C1">
        <w:rPr>
          <w:rFonts w:ascii="Bookman Old Style" w:hAnsi="Bookman Old Style"/>
          <w:sz w:val="24"/>
          <w:szCs w:val="24"/>
        </w:rPr>
        <w:t>di risorse, senza alcuna verifica della sufficienza e congruenza de</w:t>
      </w:r>
      <w:r w:rsidR="0000152E">
        <w:rPr>
          <w:rFonts w:ascii="Bookman Old Style" w:hAnsi="Bookman Old Style"/>
          <w:sz w:val="24"/>
          <w:szCs w:val="24"/>
        </w:rPr>
        <w:t xml:space="preserve">l loro valore </w:t>
      </w:r>
      <w:r w:rsidR="004B16C1">
        <w:rPr>
          <w:rFonts w:ascii="Bookman Old Style" w:hAnsi="Bookman Old Style"/>
          <w:sz w:val="24"/>
          <w:szCs w:val="24"/>
        </w:rPr>
        <w:lastRenderedPageBreak/>
        <w:t xml:space="preserve">assoluto </w:t>
      </w:r>
      <w:r w:rsidR="0000152E">
        <w:rPr>
          <w:rFonts w:ascii="Bookman Old Style" w:hAnsi="Bookman Old Style"/>
          <w:sz w:val="24"/>
          <w:szCs w:val="24"/>
        </w:rPr>
        <w:t>e senza aver affrontato il nodo dei livelli essenziali delle prestazioni nei servizi locali (LEP), che non sono ancora determinati.</w:t>
      </w:r>
    </w:p>
    <w:p w14:paraId="2D550A84" w14:textId="602B4F87" w:rsidR="00AE2EC8" w:rsidRPr="00E65025" w:rsidRDefault="00AE2EC8" w:rsidP="00AE2EC8">
      <w:pPr>
        <w:spacing w:after="120" w:line="264" w:lineRule="auto"/>
        <w:jc w:val="both"/>
        <w:rPr>
          <w:rFonts w:ascii="Bookman Old Style" w:hAnsi="Bookman Old Style"/>
          <w:sz w:val="24"/>
          <w:szCs w:val="24"/>
        </w:rPr>
      </w:pPr>
      <w:r>
        <w:rPr>
          <w:rFonts w:ascii="Bookman Old Style" w:hAnsi="Bookman Old Style"/>
          <w:sz w:val="24"/>
          <w:szCs w:val="24"/>
        </w:rPr>
        <w:t>Le richieste dell’ANCI di un profondo ripensamento del sistema, più volte reiterate negli</w:t>
      </w:r>
      <w:r w:rsidR="00CE0CFE">
        <w:rPr>
          <w:rFonts w:ascii="Bookman Old Style" w:hAnsi="Bookman Old Style"/>
          <w:sz w:val="24"/>
          <w:szCs w:val="24"/>
        </w:rPr>
        <w:t xml:space="preserve"> </w:t>
      </w:r>
      <w:r>
        <w:rPr>
          <w:rFonts w:ascii="Bookman Old Style" w:hAnsi="Bookman Old Style"/>
          <w:sz w:val="24"/>
          <w:szCs w:val="24"/>
        </w:rPr>
        <w:t xml:space="preserve">anni, non puntano al depotenziamento della perequazione, ma vogliono </w:t>
      </w:r>
      <w:r w:rsidRPr="00E65025">
        <w:rPr>
          <w:rFonts w:ascii="Bookman Old Style" w:hAnsi="Bookman Old Style"/>
          <w:sz w:val="24"/>
          <w:szCs w:val="24"/>
        </w:rPr>
        <w:t xml:space="preserve">evitare </w:t>
      </w:r>
      <w:r>
        <w:rPr>
          <w:rFonts w:ascii="Bookman Old Style" w:hAnsi="Bookman Old Style"/>
          <w:sz w:val="24"/>
          <w:szCs w:val="24"/>
        </w:rPr>
        <w:t xml:space="preserve">il rischio di un </w:t>
      </w:r>
      <w:r w:rsidRPr="00E65025">
        <w:rPr>
          <w:rFonts w:ascii="Bookman Old Style" w:hAnsi="Bookman Old Style"/>
          <w:sz w:val="24"/>
          <w:szCs w:val="24"/>
        </w:rPr>
        <w:t>ulteriore allontanamento dal disegno federalista</w:t>
      </w:r>
      <w:r>
        <w:rPr>
          <w:rFonts w:ascii="Bookman Old Style" w:hAnsi="Bookman Old Style"/>
          <w:sz w:val="24"/>
          <w:szCs w:val="24"/>
        </w:rPr>
        <w:t xml:space="preserve">, sulla base di </w:t>
      </w:r>
      <w:r w:rsidRPr="00AE2EC8">
        <w:rPr>
          <w:rFonts w:ascii="Bookman Old Style" w:hAnsi="Bookman Old Style"/>
          <w:b/>
          <w:sz w:val="24"/>
          <w:szCs w:val="24"/>
        </w:rPr>
        <w:t xml:space="preserve">una </w:t>
      </w:r>
      <w:r>
        <w:rPr>
          <w:rFonts w:ascii="Bookman Old Style" w:hAnsi="Bookman Old Style"/>
          <w:b/>
          <w:sz w:val="24"/>
          <w:szCs w:val="24"/>
        </w:rPr>
        <w:t xml:space="preserve">revisione delle </w:t>
      </w:r>
      <w:r w:rsidRPr="00AE2EC8">
        <w:rPr>
          <w:rFonts w:ascii="Bookman Old Style" w:hAnsi="Bookman Old Style"/>
          <w:b/>
          <w:sz w:val="24"/>
          <w:szCs w:val="24"/>
        </w:rPr>
        <w:t xml:space="preserve">modalità </w:t>
      </w:r>
      <w:r>
        <w:rPr>
          <w:rFonts w:ascii="Bookman Old Style" w:hAnsi="Bookman Old Style"/>
          <w:b/>
          <w:sz w:val="24"/>
          <w:szCs w:val="24"/>
        </w:rPr>
        <w:t>attuative</w:t>
      </w:r>
      <w:r w:rsidRPr="00AE2EC8">
        <w:rPr>
          <w:rFonts w:ascii="Bookman Old Style" w:hAnsi="Bookman Old Style"/>
          <w:b/>
          <w:sz w:val="24"/>
          <w:szCs w:val="24"/>
        </w:rPr>
        <w:t>, attraverso l’introduzione dei LEP e di un congrua inserzione di risorse statali di sostegno</w:t>
      </w:r>
      <w:r w:rsidR="00DA22B2">
        <w:rPr>
          <w:rFonts w:ascii="Bookman Old Style" w:hAnsi="Bookman Old Style"/>
          <w:b/>
          <w:sz w:val="24"/>
          <w:szCs w:val="24"/>
        </w:rPr>
        <w:t>, così come prevede espressamente la legge n. 42 del 2009, introduzione non più eludibile se si vuole andare avanti in una distribuzione di risorse che tenga conto dei fabbisogni standard.</w:t>
      </w:r>
    </w:p>
    <w:p w14:paraId="4BB4788B" w14:textId="3A187BA5" w:rsidR="00AE2EC8" w:rsidRDefault="00CF1701" w:rsidP="003849E3">
      <w:pPr>
        <w:spacing w:after="120" w:line="264" w:lineRule="auto"/>
        <w:jc w:val="both"/>
        <w:rPr>
          <w:rFonts w:ascii="Bookman Old Style" w:hAnsi="Bookman Old Style"/>
          <w:sz w:val="24"/>
          <w:szCs w:val="24"/>
        </w:rPr>
      </w:pPr>
      <w:r w:rsidRPr="003849E3">
        <w:rPr>
          <w:rFonts w:ascii="Bookman Old Style" w:hAnsi="Bookman Old Style"/>
          <w:sz w:val="24"/>
          <w:szCs w:val="24"/>
        </w:rPr>
        <w:t>L</w:t>
      </w:r>
      <w:r w:rsidR="00272511" w:rsidRPr="003849E3">
        <w:rPr>
          <w:rFonts w:ascii="Bookman Old Style" w:hAnsi="Bookman Old Style"/>
          <w:sz w:val="24"/>
          <w:szCs w:val="24"/>
        </w:rPr>
        <w:t xml:space="preserve">a pausa </w:t>
      </w:r>
      <w:r w:rsidRPr="003849E3">
        <w:rPr>
          <w:rFonts w:ascii="Bookman Old Style" w:hAnsi="Bookman Old Style"/>
          <w:sz w:val="24"/>
          <w:szCs w:val="24"/>
        </w:rPr>
        <w:t xml:space="preserve">nella progressione delle percentuali di risorse perequate adottata per il </w:t>
      </w:r>
      <w:r w:rsidR="00272511" w:rsidRPr="003849E3">
        <w:rPr>
          <w:rFonts w:ascii="Bookman Old Style" w:hAnsi="Bookman Old Style"/>
          <w:sz w:val="24"/>
          <w:szCs w:val="24"/>
        </w:rPr>
        <w:t xml:space="preserve">2019 </w:t>
      </w:r>
      <w:r w:rsidRPr="003849E3">
        <w:rPr>
          <w:rFonts w:ascii="Bookman Old Style" w:hAnsi="Bookman Old Style"/>
          <w:sz w:val="24"/>
          <w:szCs w:val="24"/>
        </w:rPr>
        <w:t>(provvisoria conferma degli stessi criteri di riparto e della percentuale del 45% già applicati nel 2018)</w:t>
      </w:r>
      <w:r>
        <w:rPr>
          <w:rFonts w:ascii="Bookman Old Style" w:hAnsi="Bookman Old Style"/>
          <w:sz w:val="24"/>
          <w:szCs w:val="24"/>
        </w:rPr>
        <w:t xml:space="preserve"> </w:t>
      </w:r>
      <w:r w:rsidR="00DA22B2">
        <w:rPr>
          <w:rFonts w:ascii="Bookman Old Style" w:hAnsi="Bookman Old Style"/>
          <w:sz w:val="24"/>
          <w:szCs w:val="24"/>
        </w:rPr>
        <w:t>è</w:t>
      </w:r>
      <w:r>
        <w:rPr>
          <w:rFonts w:ascii="Bookman Old Style" w:hAnsi="Bookman Old Style"/>
          <w:sz w:val="24"/>
          <w:szCs w:val="24"/>
        </w:rPr>
        <w:t xml:space="preserve"> </w:t>
      </w:r>
      <w:r w:rsidR="00DF2D79">
        <w:rPr>
          <w:rFonts w:ascii="Bookman Old Style" w:hAnsi="Bookman Old Style"/>
          <w:sz w:val="24"/>
          <w:szCs w:val="24"/>
        </w:rPr>
        <w:t xml:space="preserve">stata </w:t>
      </w:r>
      <w:r>
        <w:rPr>
          <w:rFonts w:ascii="Bookman Old Style" w:hAnsi="Bookman Old Style"/>
          <w:sz w:val="24"/>
          <w:szCs w:val="24"/>
        </w:rPr>
        <w:t xml:space="preserve">concepita per consentire un ripensamento del sistema anche sulla base di una relazione della Commissione tecnica per i fabbisogni standard (co.883 della </w:t>
      </w:r>
      <w:r w:rsidR="00E01801">
        <w:rPr>
          <w:rFonts w:ascii="Bookman Old Style" w:hAnsi="Bookman Old Style"/>
          <w:sz w:val="24"/>
          <w:szCs w:val="24"/>
        </w:rPr>
        <w:t>legge di bilancio per il 2018) sullo stato di attuazione del federalismo fiscale. La relazione non è stata ancora pubblicata e purtroppo non si è prodotto quel confronto sulle modalità e i cambiamenti da adottare di cui c’è tuttora grande bisogno.</w:t>
      </w:r>
      <w:r w:rsidR="00DF2D79">
        <w:rPr>
          <w:rFonts w:ascii="Bookman Old Style" w:hAnsi="Bookman Old Style"/>
          <w:sz w:val="24"/>
          <w:szCs w:val="24"/>
        </w:rPr>
        <w:t xml:space="preserve"> In estrema sintesi</w:t>
      </w:r>
      <w:r w:rsidR="009D2F9A">
        <w:rPr>
          <w:rFonts w:ascii="Bookman Old Style" w:hAnsi="Bookman Old Style"/>
          <w:sz w:val="24"/>
          <w:szCs w:val="24"/>
        </w:rPr>
        <w:t>, si tratta di assicurare con interventi calibrati nell’ambito dell’attuale impianto:</w:t>
      </w:r>
    </w:p>
    <w:p w14:paraId="4FCD16C6" w14:textId="470BF4A7" w:rsidR="009D2F9A" w:rsidRDefault="009D2F9A" w:rsidP="009D2F9A">
      <w:pPr>
        <w:pStyle w:val="Paragrafoelenco"/>
        <w:numPr>
          <w:ilvl w:val="0"/>
          <w:numId w:val="16"/>
        </w:numPr>
        <w:spacing w:after="120" w:line="264" w:lineRule="auto"/>
        <w:jc w:val="both"/>
        <w:rPr>
          <w:rFonts w:ascii="Bookman Old Style" w:hAnsi="Bookman Old Style"/>
          <w:sz w:val="24"/>
          <w:szCs w:val="24"/>
        </w:rPr>
      </w:pPr>
      <w:r>
        <w:rPr>
          <w:rFonts w:ascii="Bookman Old Style" w:hAnsi="Bookman Old Style"/>
          <w:sz w:val="24"/>
          <w:szCs w:val="24"/>
        </w:rPr>
        <w:t>la salvaguardia della dinamica delle risorse dei Comuni di minore dimensione con particolare riguardo alle aree interne più esposte al rischio di spopolamento. L’attuale sistema – soprattutto attraverso l’influenza delle variazioni della popolazione residente negli aggiornamenti annuali dei dati – penalizza strutturalmente le aree di spopolamento;</w:t>
      </w:r>
    </w:p>
    <w:p w14:paraId="03BCE810" w14:textId="6ADBD92E" w:rsidR="009D2F9A" w:rsidRDefault="009D2F9A" w:rsidP="009D2F9A">
      <w:pPr>
        <w:pStyle w:val="Paragrafoelenco"/>
        <w:numPr>
          <w:ilvl w:val="0"/>
          <w:numId w:val="16"/>
        </w:numPr>
        <w:spacing w:after="120" w:line="264" w:lineRule="auto"/>
        <w:jc w:val="both"/>
        <w:rPr>
          <w:rFonts w:ascii="Bookman Old Style" w:hAnsi="Bookman Old Style"/>
          <w:sz w:val="24"/>
          <w:szCs w:val="24"/>
        </w:rPr>
      </w:pPr>
      <w:r>
        <w:rPr>
          <w:rFonts w:ascii="Bookman Old Style" w:hAnsi="Bookman Old Style"/>
          <w:sz w:val="24"/>
          <w:szCs w:val="24"/>
        </w:rPr>
        <w:t>la correzione delle modalità di determinazione dei fabbisogni di alcuni dei servizi considerati;</w:t>
      </w:r>
    </w:p>
    <w:p w14:paraId="450F1D70" w14:textId="11380940" w:rsidR="009D2F9A" w:rsidRDefault="009D2F9A" w:rsidP="009D2F9A">
      <w:pPr>
        <w:pStyle w:val="Paragrafoelenco"/>
        <w:numPr>
          <w:ilvl w:val="0"/>
          <w:numId w:val="16"/>
        </w:numPr>
        <w:spacing w:after="120" w:line="264" w:lineRule="auto"/>
        <w:jc w:val="both"/>
        <w:rPr>
          <w:rFonts w:ascii="Bookman Old Style" w:hAnsi="Bookman Old Style"/>
          <w:sz w:val="24"/>
          <w:szCs w:val="24"/>
        </w:rPr>
      </w:pPr>
      <w:r>
        <w:rPr>
          <w:rFonts w:ascii="Bookman Old Style" w:hAnsi="Bookman Old Style"/>
          <w:sz w:val="24"/>
          <w:szCs w:val="24"/>
        </w:rPr>
        <w:t>la revisione delle capacità fiscali alla luce delle modifiche via via intervenute nell’assetto tributario e con particolare riferimento alla cd capacità fiscale “residuale” che deriva da un complesso modello statistico;</w:t>
      </w:r>
    </w:p>
    <w:p w14:paraId="2DC79D84" w14:textId="48478232" w:rsidR="009D2F9A" w:rsidRPr="009D2F9A" w:rsidRDefault="009D2F9A" w:rsidP="009D2F9A">
      <w:pPr>
        <w:pStyle w:val="Paragrafoelenco"/>
        <w:numPr>
          <w:ilvl w:val="0"/>
          <w:numId w:val="16"/>
        </w:numPr>
        <w:spacing w:after="120" w:line="264" w:lineRule="auto"/>
        <w:jc w:val="both"/>
        <w:rPr>
          <w:rFonts w:ascii="Bookman Old Style" w:hAnsi="Bookman Old Style"/>
          <w:sz w:val="24"/>
          <w:szCs w:val="24"/>
        </w:rPr>
      </w:pPr>
      <w:r>
        <w:rPr>
          <w:rFonts w:ascii="Bookman Old Style" w:hAnsi="Bookman Old Style"/>
          <w:sz w:val="24"/>
          <w:szCs w:val="24"/>
        </w:rPr>
        <w:t xml:space="preserve">la </w:t>
      </w:r>
      <w:r w:rsidR="00E34F41">
        <w:rPr>
          <w:rFonts w:ascii="Bookman Old Style" w:hAnsi="Bookman Old Style"/>
          <w:sz w:val="24"/>
          <w:szCs w:val="24"/>
        </w:rPr>
        <w:t>conciliazione degli interventi “di settore” come quello relativo all’impulso ad una maggior diffusione del servizio di asilo nido, con i riflessi sulla redistribuzione di risorse correnti e senza vincolo di destinazione tipica dell’azione perequativa attraverso il FSC.</w:t>
      </w:r>
    </w:p>
    <w:p w14:paraId="39F4EB9A" w14:textId="1384A4D9" w:rsidR="00DF2D79" w:rsidRPr="00C634F0" w:rsidRDefault="00DF2D79" w:rsidP="006D36DE">
      <w:pPr>
        <w:spacing w:after="120" w:line="264" w:lineRule="auto"/>
        <w:jc w:val="both"/>
        <w:rPr>
          <w:rFonts w:ascii="Bookman Old Style" w:hAnsi="Bookman Old Style"/>
          <w:bCs/>
          <w:sz w:val="24"/>
          <w:szCs w:val="24"/>
        </w:rPr>
      </w:pPr>
      <w:r>
        <w:rPr>
          <w:rFonts w:ascii="Bookman Old Style" w:hAnsi="Bookman Old Style"/>
          <w:b/>
          <w:sz w:val="24"/>
          <w:szCs w:val="24"/>
        </w:rPr>
        <w:t>La ridefinizione del</w:t>
      </w:r>
      <w:r w:rsidR="00290EE9" w:rsidRPr="00290EE9">
        <w:rPr>
          <w:rFonts w:ascii="Bookman Old Style" w:hAnsi="Bookman Old Style"/>
          <w:b/>
          <w:sz w:val="24"/>
          <w:szCs w:val="24"/>
        </w:rPr>
        <w:t>la tempistica e le progressioni quantitative della perequazione</w:t>
      </w:r>
      <w:r w:rsidR="00290EE9">
        <w:rPr>
          <w:rFonts w:ascii="Bookman Old Style" w:hAnsi="Bookman Old Style"/>
          <w:b/>
          <w:sz w:val="24"/>
          <w:szCs w:val="24"/>
        </w:rPr>
        <w:t>,</w:t>
      </w:r>
      <w:r w:rsidR="00290EE9" w:rsidRPr="00290EE9">
        <w:rPr>
          <w:rFonts w:ascii="Bookman Old Style" w:hAnsi="Bookman Old Style"/>
          <w:b/>
          <w:sz w:val="24"/>
          <w:szCs w:val="24"/>
        </w:rPr>
        <w:t xml:space="preserve"> </w:t>
      </w:r>
      <w:r w:rsidR="00C634F0">
        <w:rPr>
          <w:rFonts w:ascii="Bookman Old Style" w:hAnsi="Bookman Old Style"/>
          <w:bCs/>
          <w:sz w:val="24"/>
          <w:szCs w:val="24"/>
        </w:rPr>
        <w:t xml:space="preserve">al fine di evitare </w:t>
      </w:r>
      <w:r>
        <w:rPr>
          <w:rFonts w:ascii="Bookman Old Style" w:hAnsi="Bookman Old Style"/>
          <w:bCs/>
          <w:sz w:val="24"/>
          <w:szCs w:val="24"/>
        </w:rPr>
        <w:t xml:space="preserve">il </w:t>
      </w:r>
      <w:r w:rsidR="00290EE9" w:rsidRPr="00CE0CFE">
        <w:rPr>
          <w:rFonts w:ascii="Bookman Old Style" w:hAnsi="Bookman Old Style"/>
          <w:bCs/>
          <w:sz w:val="24"/>
          <w:szCs w:val="24"/>
        </w:rPr>
        <w:t xml:space="preserve">salto di oltre 40 punti nella percentuale di risorse perequate (a legislazione vigente nel 2020 si dovrebbe arrivare all’85%) </w:t>
      </w:r>
      <w:r>
        <w:rPr>
          <w:rFonts w:ascii="Bookman Old Style" w:hAnsi="Bookman Old Style"/>
          <w:bCs/>
          <w:sz w:val="24"/>
          <w:szCs w:val="24"/>
        </w:rPr>
        <w:t>è ora inclusa nel dl Fiscale (dl 124 del 2019)</w:t>
      </w:r>
      <w:r w:rsidR="006D36DE">
        <w:rPr>
          <w:rFonts w:ascii="Bookman Old Style" w:hAnsi="Bookman Old Style"/>
          <w:bCs/>
          <w:sz w:val="24"/>
          <w:szCs w:val="24"/>
        </w:rPr>
        <w:t xml:space="preserve">, che dispone: </w:t>
      </w:r>
      <w:r w:rsidR="00C634F0" w:rsidRPr="00C634F0">
        <w:rPr>
          <w:rFonts w:ascii="Bookman Old Style" w:hAnsi="Bookman Old Style"/>
          <w:bCs/>
          <w:sz w:val="24"/>
          <w:szCs w:val="24"/>
        </w:rPr>
        <w:t>il progressivo aumento (</w:t>
      </w:r>
      <w:r w:rsidRPr="00C634F0">
        <w:rPr>
          <w:rFonts w:ascii="Bookman Old Style" w:hAnsi="Bookman Old Style"/>
          <w:bCs/>
          <w:sz w:val="24"/>
          <w:szCs w:val="24"/>
        </w:rPr>
        <w:t>+ 5% annuo</w:t>
      </w:r>
      <w:r w:rsidR="00C634F0" w:rsidRPr="00C634F0">
        <w:rPr>
          <w:rFonts w:ascii="Bookman Old Style" w:hAnsi="Bookman Old Style"/>
          <w:bCs/>
          <w:sz w:val="24"/>
          <w:szCs w:val="24"/>
        </w:rPr>
        <w:t>)</w:t>
      </w:r>
      <w:r w:rsidRPr="00C634F0">
        <w:rPr>
          <w:rFonts w:ascii="Bookman Old Style" w:hAnsi="Bookman Old Style"/>
          <w:bCs/>
          <w:sz w:val="24"/>
          <w:szCs w:val="24"/>
        </w:rPr>
        <w:t xml:space="preserve"> della percentuale delle risorse perequate; </w:t>
      </w:r>
      <w:r w:rsidR="00C634F0" w:rsidRPr="00C634F0">
        <w:rPr>
          <w:rFonts w:ascii="Bookman Old Style" w:hAnsi="Bookman Old Style"/>
          <w:bCs/>
          <w:sz w:val="24"/>
          <w:szCs w:val="24"/>
        </w:rPr>
        <w:t xml:space="preserve">un analogo aumento del </w:t>
      </w:r>
      <w:r w:rsidRPr="00C634F0">
        <w:rPr>
          <w:rFonts w:ascii="Bookman Old Style" w:hAnsi="Bookman Old Style"/>
          <w:bCs/>
          <w:sz w:val="24"/>
          <w:szCs w:val="24"/>
        </w:rPr>
        <w:t>+ 5% annuo dell’ammontare complessivo delle risorse oggetto di perequazione</w:t>
      </w:r>
      <w:r w:rsidR="00C634F0" w:rsidRPr="00C634F0">
        <w:rPr>
          <w:rFonts w:ascii="Bookman Old Style" w:hAnsi="Bookman Old Style"/>
          <w:bCs/>
          <w:sz w:val="24"/>
          <w:szCs w:val="24"/>
        </w:rPr>
        <w:t>,</w:t>
      </w:r>
      <w:r w:rsidRPr="00C634F0">
        <w:rPr>
          <w:rFonts w:ascii="Bookman Old Style" w:hAnsi="Bookman Old Style"/>
          <w:bCs/>
          <w:sz w:val="24"/>
          <w:szCs w:val="24"/>
        </w:rPr>
        <w:t xml:space="preserve"> che finora si fermavano al 50% delle capacità fiscali e ora passano al 100%</w:t>
      </w:r>
      <w:r w:rsidR="006D36DE" w:rsidRPr="00C634F0">
        <w:rPr>
          <w:rFonts w:ascii="Bookman Old Style" w:hAnsi="Bookman Old Style"/>
          <w:bCs/>
          <w:sz w:val="24"/>
          <w:szCs w:val="24"/>
        </w:rPr>
        <w:t xml:space="preserve">, fino a completare il percorso </w:t>
      </w:r>
      <w:r w:rsidRPr="00C634F0">
        <w:rPr>
          <w:rFonts w:ascii="Bookman Old Style" w:hAnsi="Bookman Old Style"/>
          <w:bCs/>
          <w:sz w:val="24"/>
          <w:szCs w:val="24"/>
        </w:rPr>
        <w:t>nel 2030.</w:t>
      </w:r>
    </w:p>
    <w:p w14:paraId="4687CDFA" w14:textId="3CCA5E95" w:rsidR="00C634F0" w:rsidRDefault="00C634F0" w:rsidP="006D36DE">
      <w:pPr>
        <w:spacing w:after="120" w:line="264" w:lineRule="auto"/>
        <w:jc w:val="both"/>
        <w:rPr>
          <w:rFonts w:ascii="Bookman Old Style" w:hAnsi="Bookman Old Style"/>
          <w:b/>
          <w:sz w:val="24"/>
          <w:szCs w:val="24"/>
        </w:rPr>
      </w:pPr>
      <w:r>
        <w:rPr>
          <w:rFonts w:ascii="Bookman Old Style" w:hAnsi="Bookman Old Style"/>
          <w:bCs/>
          <w:sz w:val="24"/>
          <w:szCs w:val="24"/>
        </w:rPr>
        <w:t xml:space="preserve">A fronte di tale opportuna ricalibrazione – che comporta comunque il raddoppio, pur diluito nel tempo, della potenza redistributiva della perequazione – assume </w:t>
      </w:r>
      <w:r>
        <w:rPr>
          <w:rFonts w:ascii="Bookman Old Style" w:hAnsi="Bookman Old Style"/>
          <w:bCs/>
          <w:sz w:val="24"/>
          <w:szCs w:val="24"/>
        </w:rPr>
        <w:lastRenderedPageBreak/>
        <w:t xml:space="preserve">ancor più rilievo l’esigenza di </w:t>
      </w:r>
      <w:r w:rsidRPr="00C634F0">
        <w:rPr>
          <w:rFonts w:ascii="Bookman Old Style" w:hAnsi="Bookman Old Style"/>
          <w:b/>
          <w:sz w:val="24"/>
          <w:szCs w:val="24"/>
        </w:rPr>
        <w:t>assicurare</w:t>
      </w:r>
      <w:r>
        <w:rPr>
          <w:rFonts w:ascii="Bookman Old Style" w:hAnsi="Bookman Old Style"/>
          <w:bCs/>
          <w:sz w:val="24"/>
          <w:szCs w:val="24"/>
        </w:rPr>
        <w:t xml:space="preserve"> </w:t>
      </w:r>
      <w:r w:rsidRPr="00290EE9">
        <w:rPr>
          <w:rFonts w:ascii="Bookman Old Style" w:hAnsi="Bookman Old Style"/>
          <w:b/>
          <w:sz w:val="24"/>
          <w:szCs w:val="24"/>
        </w:rPr>
        <w:t>modalità sostenibili di raggiungimento degli obiettiv</w:t>
      </w:r>
      <w:r>
        <w:rPr>
          <w:rFonts w:ascii="Bookman Old Style" w:hAnsi="Bookman Old Style"/>
          <w:b/>
          <w:sz w:val="24"/>
          <w:szCs w:val="24"/>
        </w:rPr>
        <w:t>i,</w:t>
      </w:r>
      <w:r w:rsidRPr="00290EE9">
        <w:rPr>
          <w:rFonts w:ascii="Bookman Old Style" w:hAnsi="Bookman Old Style"/>
          <w:b/>
          <w:sz w:val="24"/>
          <w:szCs w:val="24"/>
        </w:rPr>
        <w:t xml:space="preserve"> anche attraverso l’introduzione di un congruo ammontare di risorse perequative statali.</w:t>
      </w:r>
    </w:p>
    <w:p w14:paraId="7523B4F1" w14:textId="4F0493FD" w:rsidR="00CE0CFE" w:rsidRDefault="00CE0CFE" w:rsidP="003849E3">
      <w:pPr>
        <w:spacing w:after="120" w:line="264" w:lineRule="auto"/>
        <w:jc w:val="both"/>
        <w:rPr>
          <w:rFonts w:ascii="Bookman Old Style" w:hAnsi="Bookman Old Style"/>
          <w:b/>
          <w:sz w:val="24"/>
          <w:szCs w:val="24"/>
        </w:rPr>
      </w:pPr>
      <w:r>
        <w:rPr>
          <w:rFonts w:ascii="Bookman Old Style" w:hAnsi="Bookman Old Style"/>
          <w:b/>
          <w:sz w:val="24"/>
          <w:szCs w:val="24"/>
        </w:rPr>
        <w:t xml:space="preserve">A fronte del diniego del Governo a ripristinare il taglio del dl 66/2014 (563,4 mln. di euro), </w:t>
      </w:r>
      <w:r w:rsidRPr="00CE0CFE">
        <w:rPr>
          <w:rFonts w:ascii="Bookman Old Style" w:hAnsi="Bookman Old Style"/>
          <w:bCs/>
          <w:sz w:val="24"/>
          <w:szCs w:val="24"/>
        </w:rPr>
        <w:t>nonostante la sua vigenza temporanea fino al 2018, l’ANCI è stata costretta ad un contenzioso presso la Giustizia amministrativa.</w:t>
      </w:r>
      <w:r>
        <w:rPr>
          <w:rFonts w:ascii="Bookman Old Style" w:hAnsi="Bookman Old Style"/>
          <w:b/>
          <w:sz w:val="24"/>
          <w:szCs w:val="24"/>
        </w:rPr>
        <w:t xml:space="preserve"> Il Governo e il Parlamento possono porre rimedio a questo punto, anche di principio, la cui soluzione potrebbe consentire l’inserimento di un primo nucleo di risorse statali nel sistema perequativo, facilitandone così il riavvio.</w:t>
      </w:r>
    </w:p>
    <w:p w14:paraId="5447DF03" w14:textId="052A7177" w:rsidR="00CE0CFE" w:rsidRPr="00290EE9" w:rsidRDefault="00CE0CFE" w:rsidP="003849E3">
      <w:pPr>
        <w:spacing w:after="120" w:line="264" w:lineRule="auto"/>
        <w:jc w:val="both"/>
        <w:rPr>
          <w:rFonts w:ascii="Bookman Old Style" w:hAnsi="Bookman Old Style"/>
          <w:b/>
          <w:sz w:val="24"/>
          <w:szCs w:val="24"/>
        </w:rPr>
      </w:pPr>
    </w:p>
    <w:p w14:paraId="2BCAD64E" w14:textId="77777777" w:rsidR="008320EB" w:rsidRPr="00E65025" w:rsidRDefault="008320EB" w:rsidP="00AD59DD">
      <w:pPr>
        <w:pStyle w:val="Titolo1"/>
      </w:pPr>
      <w:bookmarkStart w:id="2" w:name="_Toc24483138"/>
      <w:r w:rsidRPr="00E65025">
        <w:t>Il sistema perequativo e il disegno della legge 42/2009</w:t>
      </w:r>
      <w:bookmarkEnd w:id="2"/>
    </w:p>
    <w:p w14:paraId="1F8C416F" w14:textId="2FCBC127"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Il sistema di finanziamento comunale “perequativo”</w:t>
      </w:r>
      <w:r>
        <w:rPr>
          <w:rFonts w:ascii="Bookman Old Style" w:hAnsi="Bookman Old Style"/>
          <w:sz w:val="24"/>
          <w:szCs w:val="24"/>
        </w:rPr>
        <w:t>,</w:t>
      </w:r>
      <w:r w:rsidRPr="00E65025">
        <w:rPr>
          <w:rFonts w:ascii="Bookman Old Style" w:hAnsi="Bookman Old Style"/>
          <w:sz w:val="24"/>
          <w:szCs w:val="24"/>
        </w:rPr>
        <w:t xml:space="preserve"> basato su fabbisogni e capacità fiscali standard, avviato nel 2015 </w:t>
      </w:r>
      <w:r w:rsidRPr="00E65025">
        <w:rPr>
          <w:rFonts w:ascii="Bookman Old Style" w:hAnsi="Bookman Old Style"/>
          <w:b/>
          <w:sz w:val="24"/>
          <w:szCs w:val="24"/>
        </w:rPr>
        <w:t>si discosta radicalmente dall’impianto costituzionale e dalla legge n. 42/2009</w:t>
      </w:r>
      <w:r w:rsidRPr="00E65025">
        <w:rPr>
          <w:rFonts w:ascii="Bookman Old Style" w:hAnsi="Bookman Old Style"/>
          <w:sz w:val="24"/>
          <w:szCs w:val="24"/>
        </w:rPr>
        <w:t xml:space="preserve"> sotto diversi profili essenziali:</w:t>
      </w:r>
    </w:p>
    <w:p w14:paraId="62B703A8" w14:textId="77777777" w:rsidR="008320EB" w:rsidRPr="00E65025" w:rsidRDefault="008320EB" w:rsidP="008320EB">
      <w:pPr>
        <w:pStyle w:val="Paragrafoelenco"/>
        <w:numPr>
          <w:ilvl w:val="0"/>
          <w:numId w:val="3"/>
        </w:numPr>
        <w:spacing w:after="120" w:line="264" w:lineRule="auto"/>
        <w:contextualSpacing w:val="0"/>
        <w:jc w:val="both"/>
        <w:rPr>
          <w:rFonts w:ascii="Bookman Old Style" w:hAnsi="Bookman Old Style"/>
          <w:sz w:val="24"/>
          <w:szCs w:val="24"/>
        </w:rPr>
      </w:pPr>
      <w:r w:rsidRPr="00E65025">
        <w:rPr>
          <w:rFonts w:ascii="Bookman Old Style" w:hAnsi="Bookman Old Style"/>
          <w:sz w:val="24"/>
          <w:szCs w:val="24"/>
        </w:rPr>
        <w:t xml:space="preserve">è basato sulla redistribuzione di risorse </w:t>
      </w:r>
      <w:r w:rsidRPr="00E65025">
        <w:rPr>
          <w:rFonts w:ascii="Bookman Old Style" w:hAnsi="Bookman Old Style"/>
          <w:i/>
          <w:sz w:val="24"/>
          <w:szCs w:val="24"/>
        </w:rPr>
        <w:t>all’interno</w:t>
      </w:r>
      <w:r w:rsidRPr="00E65025">
        <w:rPr>
          <w:rFonts w:ascii="Bookman Old Style" w:hAnsi="Bookman Old Style"/>
          <w:sz w:val="24"/>
          <w:szCs w:val="24"/>
        </w:rPr>
        <w:t xml:space="preserve"> del comparto comunale senza più alcun contributo dello Stato (</w:t>
      </w:r>
      <w:r w:rsidRPr="00E65025">
        <w:rPr>
          <w:rFonts w:ascii="Bookman Old Style" w:hAnsi="Bookman Old Style"/>
          <w:b/>
          <w:i/>
          <w:sz w:val="24"/>
          <w:szCs w:val="24"/>
        </w:rPr>
        <w:t>perequazione esclusivamente orizzontale</w:t>
      </w:r>
      <w:r w:rsidRPr="00E65025">
        <w:rPr>
          <w:rFonts w:ascii="Bookman Old Style" w:hAnsi="Bookman Old Style"/>
          <w:sz w:val="24"/>
          <w:szCs w:val="24"/>
        </w:rPr>
        <w:t>);</w:t>
      </w:r>
    </w:p>
    <w:p w14:paraId="2214370C" w14:textId="77777777" w:rsidR="008320EB" w:rsidRPr="00E65025" w:rsidRDefault="008320EB" w:rsidP="008320EB">
      <w:pPr>
        <w:pStyle w:val="Paragrafoelenco"/>
        <w:numPr>
          <w:ilvl w:val="0"/>
          <w:numId w:val="3"/>
        </w:numPr>
        <w:spacing w:after="120" w:line="264" w:lineRule="auto"/>
        <w:contextualSpacing w:val="0"/>
        <w:jc w:val="both"/>
        <w:rPr>
          <w:rFonts w:ascii="Bookman Old Style" w:hAnsi="Bookman Old Style"/>
          <w:sz w:val="24"/>
          <w:szCs w:val="24"/>
        </w:rPr>
      </w:pPr>
      <w:r w:rsidRPr="00E65025">
        <w:rPr>
          <w:rFonts w:ascii="Bookman Old Style" w:hAnsi="Bookman Old Style"/>
          <w:sz w:val="24"/>
          <w:szCs w:val="24"/>
        </w:rPr>
        <w:t xml:space="preserve">non garantisce che siano ovunque assicurati </w:t>
      </w:r>
      <w:r w:rsidRPr="00E65025">
        <w:rPr>
          <w:rFonts w:ascii="Bookman Old Style" w:hAnsi="Bookman Old Style"/>
          <w:b/>
          <w:sz w:val="24"/>
          <w:szCs w:val="24"/>
        </w:rPr>
        <w:t>i servizi minimi tutelati costituzionalmente</w:t>
      </w:r>
      <w:r w:rsidRPr="00E65025">
        <w:rPr>
          <w:rFonts w:ascii="Bookman Old Style" w:hAnsi="Bookman Old Style"/>
          <w:sz w:val="24"/>
          <w:szCs w:val="24"/>
        </w:rPr>
        <w:t xml:space="preserve">, non essendo determinati né finanziati i cosiddetti </w:t>
      </w:r>
      <w:r w:rsidRPr="00E65025">
        <w:rPr>
          <w:rFonts w:ascii="Bookman Old Style" w:hAnsi="Bookman Old Style"/>
          <w:b/>
          <w:sz w:val="24"/>
          <w:szCs w:val="24"/>
        </w:rPr>
        <w:t>Livelli essenziali delle prestazioni (LEP)</w:t>
      </w:r>
      <w:r w:rsidRPr="00E65025">
        <w:rPr>
          <w:rFonts w:ascii="Bookman Old Style" w:hAnsi="Bookman Old Style"/>
          <w:sz w:val="24"/>
          <w:szCs w:val="24"/>
        </w:rPr>
        <w:t>;</w:t>
      </w:r>
    </w:p>
    <w:p w14:paraId="7C909A3A" w14:textId="77777777" w:rsidR="008320EB" w:rsidRPr="00E65025" w:rsidRDefault="008320EB" w:rsidP="008320EB">
      <w:pPr>
        <w:pStyle w:val="Paragrafoelenco"/>
        <w:numPr>
          <w:ilvl w:val="0"/>
          <w:numId w:val="3"/>
        </w:numPr>
        <w:spacing w:after="120" w:line="264" w:lineRule="auto"/>
        <w:contextualSpacing w:val="0"/>
        <w:jc w:val="both"/>
        <w:rPr>
          <w:rFonts w:ascii="Bookman Old Style" w:hAnsi="Bookman Old Style"/>
          <w:sz w:val="24"/>
          <w:szCs w:val="24"/>
        </w:rPr>
      </w:pPr>
      <w:r w:rsidRPr="00E65025">
        <w:rPr>
          <w:rFonts w:ascii="Bookman Old Style" w:hAnsi="Bookman Old Style"/>
          <w:sz w:val="24"/>
          <w:szCs w:val="24"/>
        </w:rPr>
        <w:t xml:space="preserve">è riconducibile al </w:t>
      </w:r>
      <w:r w:rsidRPr="00E65025">
        <w:rPr>
          <w:rFonts w:ascii="Bookman Old Style" w:hAnsi="Bookman Old Style"/>
          <w:b/>
          <w:sz w:val="24"/>
          <w:szCs w:val="24"/>
        </w:rPr>
        <w:t>mantenimento delle risorse storicamente assegnate</w:t>
      </w:r>
      <w:r w:rsidRPr="00E65025">
        <w:rPr>
          <w:rFonts w:ascii="Bookman Old Style" w:hAnsi="Bookman Old Style"/>
          <w:sz w:val="24"/>
          <w:szCs w:val="24"/>
        </w:rPr>
        <w:t xml:space="preserve"> ai Comuni nel regime precedente all’introduzione dell’IMU (ICI e trasferimenti statali), ovviamente al netto dei tagli intervenuti.</w:t>
      </w:r>
    </w:p>
    <w:p w14:paraId="52799F3A" w14:textId="77777777"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Nello specifico, la legge delega individuava due tipi di trasferimenti perequativi:</w:t>
      </w:r>
    </w:p>
    <w:p w14:paraId="1EDE4D2A" w14:textId="77777777" w:rsidR="008320EB" w:rsidRPr="00E65025" w:rsidRDefault="008320EB" w:rsidP="008320EB">
      <w:pPr>
        <w:pStyle w:val="Paragrafoelenco"/>
        <w:numPr>
          <w:ilvl w:val="0"/>
          <w:numId w:val="2"/>
        </w:numPr>
        <w:spacing w:after="120" w:line="264" w:lineRule="auto"/>
        <w:ind w:left="714" w:hanging="357"/>
        <w:contextualSpacing w:val="0"/>
        <w:jc w:val="both"/>
        <w:rPr>
          <w:rFonts w:ascii="Bookman Old Style" w:hAnsi="Bookman Old Style"/>
          <w:sz w:val="24"/>
          <w:szCs w:val="24"/>
        </w:rPr>
      </w:pPr>
      <w:r w:rsidRPr="00E65025">
        <w:rPr>
          <w:rFonts w:ascii="Bookman Old Style" w:hAnsi="Bookman Old Style"/>
          <w:sz w:val="24"/>
          <w:szCs w:val="24"/>
        </w:rPr>
        <w:t>una prima tipologia, basata sulle differenze tra fabbisogni e capacità fiscali standard, assume come finalità la perequazione integrale delle spese correnti riconducibili alle</w:t>
      </w:r>
      <w:r w:rsidRPr="00E65025">
        <w:rPr>
          <w:rFonts w:ascii="Bookman Old Style" w:hAnsi="Bookman Old Style"/>
          <w:b/>
          <w:sz w:val="24"/>
          <w:szCs w:val="24"/>
        </w:rPr>
        <w:t xml:space="preserve"> funzioni fondamentali. </w:t>
      </w:r>
      <w:r w:rsidRPr="00E65025">
        <w:rPr>
          <w:rFonts w:ascii="Bookman Old Style" w:hAnsi="Bookman Old Style"/>
          <w:sz w:val="24"/>
          <w:szCs w:val="24"/>
        </w:rPr>
        <w:t>A tal fine la legge prevede l’istituzione di un “fondo perequativo”, di ammontare pari alla differenza tra i fabbisogni e le entrate standardizzate (</w:t>
      </w:r>
      <w:r w:rsidRPr="00E65025">
        <w:rPr>
          <w:rFonts w:ascii="Bookman Old Style" w:hAnsi="Bookman Old Style"/>
          <w:i/>
          <w:sz w:val="24"/>
          <w:szCs w:val="24"/>
        </w:rPr>
        <w:t>perequazione integrale e verticale</w:t>
      </w:r>
      <w:r w:rsidRPr="00E65025">
        <w:rPr>
          <w:rFonts w:ascii="Bookman Old Style" w:hAnsi="Bookman Old Style"/>
          <w:sz w:val="24"/>
          <w:szCs w:val="24"/>
        </w:rPr>
        <w:t xml:space="preserve">), indicando con chiarezza </w:t>
      </w:r>
      <w:r w:rsidRPr="00E65025">
        <w:rPr>
          <w:rFonts w:ascii="Bookman Old Style" w:hAnsi="Bookman Old Style"/>
          <w:b/>
          <w:sz w:val="24"/>
          <w:szCs w:val="24"/>
        </w:rPr>
        <w:t xml:space="preserve">il ruolo dello Stato nell’assicurare integralmente il </w:t>
      </w:r>
      <w:proofErr w:type="gramStart"/>
      <w:r w:rsidRPr="00E65025">
        <w:rPr>
          <w:rFonts w:ascii="Bookman Old Style" w:hAnsi="Bookman Old Style"/>
          <w:b/>
          <w:sz w:val="24"/>
          <w:szCs w:val="24"/>
        </w:rPr>
        <w:t>gap</w:t>
      </w:r>
      <w:proofErr w:type="gramEnd"/>
      <w:r w:rsidRPr="00E65025">
        <w:rPr>
          <w:rFonts w:ascii="Bookman Old Style" w:hAnsi="Bookman Old Style"/>
          <w:b/>
          <w:sz w:val="24"/>
          <w:szCs w:val="24"/>
        </w:rPr>
        <w:t xml:space="preserve"> complessivo tra fabbisogni e capacità fiscali </w:t>
      </w:r>
      <w:r w:rsidRPr="00E65025">
        <w:rPr>
          <w:rFonts w:ascii="Bookman Old Style" w:hAnsi="Bookman Old Style"/>
          <w:sz w:val="24"/>
          <w:szCs w:val="24"/>
        </w:rPr>
        <w:t>nell’area delle funzioni fondamentali;</w:t>
      </w:r>
    </w:p>
    <w:p w14:paraId="5142F69C" w14:textId="77777777" w:rsidR="008320EB" w:rsidRPr="0000152E" w:rsidRDefault="008320EB" w:rsidP="008320EB">
      <w:pPr>
        <w:pStyle w:val="Paragrafoelenco"/>
        <w:numPr>
          <w:ilvl w:val="0"/>
          <w:numId w:val="2"/>
        </w:numPr>
        <w:spacing w:after="120" w:line="264" w:lineRule="auto"/>
        <w:ind w:left="714" w:hanging="357"/>
        <w:contextualSpacing w:val="0"/>
        <w:jc w:val="both"/>
        <w:rPr>
          <w:rFonts w:ascii="Bookman Old Style" w:hAnsi="Bookman Old Style"/>
          <w:sz w:val="24"/>
          <w:szCs w:val="24"/>
        </w:rPr>
      </w:pPr>
      <w:r w:rsidRPr="00E65025">
        <w:rPr>
          <w:rFonts w:ascii="Bookman Old Style" w:hAnsi="Bookman Old Style"/>
          <w:sz w:val="24"/>
          <w:szCs w:val="24"/>
        </w:rPr>
        <w:t xml:space="preserve">una seconda tipologia si rivolge al finanziamento delle </w:t>
      </w:r>
      <w:r w:rsidRPr="00E65025">
        <w:rPr>
          <w:rFonts w:ascii="Bookman Old Style" w:hAnsi="Bookman Old Style"/>
          <w:b/>
          <w:sz w:val="24"/>
          <w:szCs w:val="24"/>
        </w:rPr>
        <w:t>funzioni non fondamentali</w:t>
      </w:r>
      <w:r w:rsidRPr="00E65025">
        <w:rPr>
          <w:rFonts w:ascii="Bookman Old Style" w:hAnsi="Bookman Old Style"/>
          <w:sz w:val="24"/>
          <w:szCs w:val="24"/>
        </w:rPr>
        <w:t xml:space="preserve">, con lo scopo di </w:t>
      </w:r>
      <w:r w:rsidRPr="00E65025">
        <w:rPr>
          <w:rFonts w:ascii="Bookman Old Style" w:hAnsi="Bookman Old Style"/>
          <w:b/>
          <w:sz w:val="24"/>
          <w:szCs w:val="24"/>
        </w:rPr>
        <w:t>ridurre parzialmente le differenze di capacità fiscale standard</w:t>
      </w:r>
      <w:r w:rsidRPr="00E65025">
        <w:rPr>
          <w:rFonts w:ascii="Bookman Old Style" w:hAnsi="Bookman Old Style"/>
          <w:sz w:val="24"/>
          <w:szCs w:val="24"/>
        </w:rPr>
        <w:t xml:space="preserve"> per abitante esistenti tra i Comuni (</w:t>
      </w:r>
      <w:r w:rsidRPr="00E65025">
        <w:rPr>
          <w:rFonts w:ascii="Bookman Old Style" w:hAnsi="Bookman Old Style"/>
          <w:i/>
          <w:sz w:val="24"/>
          <w:szCs w:val="24"/>
        </w:rPr>
        <w:t>perequazione parziale e orizzontale</w:t>
      </w:r>
      <w:r w:rsidRPr="00E65025">
        <w:rPr>
          <w:rFonts w:ascii="Bookman Old Style" w:hAnsi="Bookman Old Style"/>
          <w:sz w:val="24"/>
          <w:szCs w:val="24"/>
        </w:rPr>
        <w:t>).</w:t>
      </w:r>
    </w:p>
    <w:p w14:paraId="10FB9AE9" w14:textId="77777777"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Il sistema perequativo, pur basandosi formalmente sui criteri previsti dalla legge delega (fabbisogni e capacità fiscali standard), è tuttavia molto diverso dal disegno originale:</w:t>
      </w:r>
    </w:p>
    <w:p w14:paraId="1F72A720" w14:textId="77777777" w:rsidR="008320EB" w:rsidRPr="00E65025" w:rsidRDefault="008320EB" w:rsidP="008320EB">
      <w:pPr>
        <w:pStyle w:val="Paragrafoelenco"/>
        <w:numPr>
          <w:ilvl w:val="0"/>
          <w:numId w:val="2"/>
        </w:numPr>
        <w:spacing w:after="120" w:line="264" w:lineRule="auto"/>
        <w:ind w:left="714" w:hanging="357"/>
        <w:contextualSpacing w:val="0"/>
        <w:jc w:val="both"/>
        <w:rPr>
          <w:rFonts w:ascii="Bookman Old Style" w:hAnsi="Bookman Old Style"/>
          <w:sz w:val="24"/>
          <w:szCs w:val="24"/>
        </w:rPr>
      </w:pPr>
      <w:r w:rsidRPr="00E65025">
        <w:rPr>
          <w:rFonts w:ascii="Bookman Old Style" w:hAnsi="Bookman Old Style"/>
          <w:sz w:val="24"/>
          <w:szCs w:val="24"/>
        </w:rPr>
        <w:lastRenderedPageBreak/>
        <w:t xml:space="preserve">non si prevedono due sistemi di trasferimenti distinti (e controllabili nei rispettivi effetti), indirizzati alla perequazione integrale delle </w:t>
      </w:r>
      <w:r w:rsidRPr="00E65025">
        <w:rPr>
          <w:rFonts w:ascii="Bookman Old Style" w:hAnsi="Bookman Old Style"/>
          <w:b/>
          <w:sz w:val="24"/>
          <w:szCs w:val="24"/>
        </w:rPr>
        <w:t>funzioni fondamentali</w:t>
      </w:r>
      <w:r w:rsidRPr="00E65025">
        <w:rPr>
          <w:rFonts w:ascii="Bookman Old Style" w:hAnsi="Bookman Old Style"/>
          <w:sz w:val="24"/>
          <w:szCs w:val="24"/>
        </w:rPr>
        <w:t xml:space="preserve">, da un lato, e alla perequazione parziale delle </w:t>
      </w:r>
      <w:r w:rsidRPr="00E65025">
        <w:rPr>
          <w:rFonts w:ascii="Bookman Old Style" w:hAnsi="Bookman Old Style"/>
          <w:b/>
          <w:sz w:val="24"/>
          <w:szCs w:val="24"/>
        </w:rPr>
        <w:t>restanti funzioni</w:t>
      </w:r>
      <w:r w:rsidRPr="00E65025">
        <w:rPr>
          <w:rFonts w:ascii="Bookman Old Style" w:hAnsi="Bookman Old Style"/>
          <w:sz w:val="24"/>
          <w:szCs w:val="24"/>
        </w:rPr>
        <w:t>, dall’altro, bensì un unico fondo distribuito secondo un solo – articolato – sistema di riparto;</w:t>
      </w:r>
    </w:p>
    <w:p w14:paraId="0C823F3C" w14:textId="77777777" w:rsidR="008320EB" w:rsidRDefault="008320EB" w:rsidP="008320EB">
      <w:pPr>
        <w:pStyle w:val="Paragrafoelenco"/>
        <w:numPr>
          <w:ilvl w:val="0"/>
          <w:numId w:val="2"/>
        </w:numPr>
        <w:spacing w:after="120" w:line="264" w:lineRule="auto"/>
        <w:ind w:left="714" w:hanging="357"/>
        <w:contextualSpacing w:val="0"/>
        <w:jc w:val="both"/>
        <w:rPr>
          <w:rFonts w:ascii="Bookman Old Style" w:hAnsi="Bookman Old Style"/>
          <w:sz w:val="24"/>
          <w:szCs w:val="24"/>
        </w:rPr>
      </w:pPr>
      <w:r w:rsidRPr="00E65025">
        <w:rPr>
          <w:rFonts w:ascii="Bookman Old Style" w:hAnsi="Bookman Old Style"/>
          <w:sz w:val="24"/>
          <w:szCs w:val="24"/>
        </w:rPr>
        <w:t>i due riparti sono quindi inglobati in un unico fondo;</w:t>
      </w:r>
    </w:p>
    <w:p w14:paraId="7BC094A5" w14:textId="77777777" w:rsidR="008320EB" w:rsidRPr="0000152E" w:rsidRDefault="008320EB" w:rsidP="008320EB">
      <w:pPr>
        <w:pStyle w:val="Paragrafoelenco"/>
        <w:numPr>
          <w:ilvl w:val="0"/>
          <w:numId w:val="2"/>
        </w:numPr>
        <w:spacing w:after="120" w:line="264" w:lineRule="auto"/>
        <w:ind w:left="714" w:hanging="357"/>
        <w:contextualSpacing w:val="0"/>
        <w:jc w:val="both"/>
        <w:rPr>
          <w:rFonts w:ascii="Bookman Old Style" w:hAnsi="Bookman Old Style"/>
          <w:sz w:val="24"/>
          <w:szCs w:val="24"/>
        </w:rPr>
      </w:pPr>
      <w:r w:rsidRPr="0000152E">
        <w:rPr>
          <w:rFonts w:ascii="Bookman Old Style" w:hAnsi="Bookman Old Style"/>
          <w:b/>
          <w:sz w:val="24"/>
          <w:szCs w:val="24"/>
        </w:rPr>
        <w:t>la perequazione è parziale anche per le funzioni fondamentali</w:t>
      </w:r>
      <w:r>
        <w:rPr>
          <w:rFonts w:ascii="Bookman Old Style" w:hAnsi="Bookman Old Style"/>
          <w:sz w:val="24"/>
          <w:szCs w:val="24"/>
        </w:rPr>
        <w:t xml:space="preserve">, sulle quali non c’è certezza che le risorse disponibili per ciascun Comune siano interamente </w:t>
      </w:r>
      <w:proofErr w:type="spellStart"/>
      <w:r>
        <w:rPr>
          <w:rFonts w:ascii="Bookman Old Style" w:hAnsi="Bookman Old Style"/>
          <w:sz w:val="24"/>
          <w:szCs w:val="24"/>
        </w:rPr>
        <w:t>finanziate</w:t>
      </w:r>
      <w:proofErr w:type="spellEnd"/>
      <w:r>
        <w:rPr>
          <w:rFonts w:ascii="Bookman Old Style" w:hAnsi="Bookman Old Style"/>
          <w:sz w:val="24"/>
          <w:szCs w:val="24"/>
        </w:rPr>
        <w:t>;</w:t>
      </w:r>
    </w:p>
    <w:p w14:paraId="26137275" w14:textId="77777777" w:rsidR="008320EB" w:rsidRPr="00F52DC2" w:rsidRDefault="008320EB" w:rsidP="008320EB">
      <w:pPr>
        <w:pStyle w:val="Paragrafoelenco"/>
        <w:numPr>
          <w:ilvl w:val="0"/>
          <w:numId w:val="2"/>
        </w:numPr>
        <w:spacing w:after="120" w:line="264" w:lineRule="auto"/>
        <w:ind w:left="714" w:hanging="357"/>
        <w:contextualSpacing w:val="0"/>
        <w:jc w:val="both"/>
        <w:rPr>
          <w:rFonts w:ascii="Bookman Old Style" w:hAnsi="Bookman Old Style"/>
          <w:b/>
          <w:bCs/>
          <w:sz w:val="24"/>
          <w:szCs w:val="24"/>
        </w:rPr>
      </w:pPr>
      <w:r w:rsidRPr="00F52DC2">
        <w:rPr>
          <w:rFonts w:ascii="Bookman Old Style" w:hAnsi="Bookman Old Style"/>
          <w:b/>
          <w:bCs/>
          <w:sz w:val="24"/>
          <w:szCs w:val="24"/>
        </w:rPr>
        <w:t xml:space="preserve">in contrasto con la legge delega, </w:t>
      </w:r>
      <w:r w:rsidRPr="008320EB">
        <w:rPr>
          <w:rFonts w:ascii="Bookman Old Style" w:hAnsi="Bookman Old Style"/>
          <w:b/>
          <w:bCs/>
          <w:sz w:val="24"/>
          <w:szCs w:val="24"/>
        </w:rPr>
        <w:t>il fondo è integralmente finanziato con risorse proprie dei Comuni</w:t>
      </w:r>
      <w:r w:rsidRPr="00F52DC2">
        <w:rPr>
          <w:rFonts w:ascii="Bookman Old Style" w:hAnsi="Bookman Old Style"/>
          <w:b/>
          <w:bCs/>
          <w:sz w:val="24"/>
          <w:szCs w:val="24"/>
        </w:rPr>
        <w:t>. Che si tratti delle spese correnti per le funzioni fondamentali o di quelle per le funzioni restanti, il riparto è sempre di natura orizzontale.</w:t>
      </w:r>
    </w:p>
    <w:p w14:paraId="531AB75D" w14:textId="77777777"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In assenza di un contributo statale, </w:t>
      </w:r>
      <w:r w:rsidRPr="00E65025">
        <w:rPr>
          <w:rFonts w:ascii="Bookman Old Style" w:hAnsi="Bookman Old Style"/>
          <w:b/>
          <w:sz w:val="24"/>
          <w:szCs w:val="24"/>
        </w:rPr>
        <w:t>la dimensione delle risorse è determinata dal totale delle capacità fiscali e non dal totale dei fabbisogni</w:t>
      </w:r>
      <w:r w:rsidRPr="00E65025">
        <w:rPr>
          <w:rFonts w:ascii="Bookman Old Style" w:hAnsi="Bookman Old Style"/>
          <w:sz w:val="24"/>
          <w:szCs w:val="24"/>
        </w:rPr>
        <w:t xml:space="preserve">. Nel calcolo, dunque, viene preservata la </w:t>
      </w:r>
      <w:r w:rsidRPr="00E65025">
        <w:rPr>
          <w:rFonts w:ascii="Bookman Old Style" w:hAnsi="Bookman Old Style"/>
          <w:i/>
          <w:sz w:val="24"/>
          <w:szCs w:val="24"/>
        </w:rPr>
        <w:t>relatività dei fabbisogni</w:t>
      </w:r>
      <w:r>
        <w:rPr>
          <w:rFonts w:ascii="Bookman Old Style" w:hAnsi="Bookman Old Style"/>
          <w:sz w:val="24"/>
          <w:szCs w:val="24"/>
        </w:rPr>
        <w:t xml:space="preserve"> (maggiori assegnazioni agli enti con maggior squilibrio fabbisogni-capacità),</w:t>
      </w:r>
      <w:r w:rsidRPr="00E65025">
        <w:rPr>
          <w:rFonts w:ascii="Bookman Old Style" w:hAnsi="Bookman Old Style"/>
          <w:i/>
          <w:sz w:val="24"/>
          <w:szCs w:val="24"/>
        </w:rPr>
        <w:t xml:space="preserve"> </w:t>
      </w:r>
      <w:r w:rsidRPr="00E65025">
        <w:rPr>
          <w:rFonts w:ascii="Bookman Old Style" w:hAnsi="Bookman Old Style"/>
          <w:sz w:val="24"/>
          <w:szCs w:val="24"/>
        </w:rPr>
        <w:t>ma non è garantito il raggiungimento dei livelli monetari necessari da parte di ciascun Comune.</w:t>
      </w:r>
    </w:p>
    <w:p w14:paraId="42F941DA" w14:textId="77777777" w:rsidR="008320EB" w:rsidRPr="00E65025" w:rsidRDefault="008320EB" w:rsidP="008320EB">
      <w:pPr>
        <w:spacing w:after="120" w:line="264" w:lineRule="auto"/>
        <w:jc w:val="both"/>
        <w:rPr>
          <w:rFonts w:ascii="Bookman Old Style" w:hAnsi="Bookman Old Style"/>
          <w:b/>
          <w:sz w:val="24"/>
          <w:szCs w:val="24"/>
        </w:rPr>
      </w:pPr>
      <w:r w:rsidRPr="00E65025">
        <w:rPr>
          <w:rFonts w:ascii="Bookman Old Style" w:hAnsi="Bookman Old Style"/>
          <w:b/>
          <w:sz w:val="24"/>
          <w:szCs w:val="24"/>
        </w:rPr>
        <w:t xml:space="preserve">La perequazione delle risorse comunali, dunque, anche qualora andasse a regime, non ha gli strumenti per garantire </w:t>
      </w:r>
      <w:r>
        <w:rPr>
          <w:rFonts w:ascii="Bookman Old Style" w:hAnsi="Bookman Old Style"/>
          <w:b/>
          <w:sz w:val="24"/>
          <w:szCs w:val="24"/>
        </w:rPr>
        <w:t xml:space="preserve">la copertura </w:t>
      </w:r>
      <w:r w:rsidRPr="00E65025">
        <w:rPr>
          <w:rFonts w:ascii="Bookman Old Style" w:hAnsi="Bookman Old Style"/>
          <w:b/>
          <w:sz w:val="24"/>
          <w:szCs w:val="24"/>
        </w:rPr>
        <w:t>integrale dei fabbisogni comunali per le funzioni fondamentali</w:t>
      </w:r>
      <w:r w:rsidRPr="0000152E">
        <w:rPr>
          <w:rFonts w:ascii="Bookman Old Style" w:hAnsi="Bookman Old Style"/>
          <w:b/>
          <w:sz w:val="24"/>
          <w:szCs w:val="24"/>
        </w:rPr>
        <w:t>.</w:t>
      </w:r>
    </w:p>
    <w:p w14:paraId="6F602494" w14:textId="6759D1FC"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Per questo l’ANCI</w:t>
      </w:r>
      <w:r>
        <w:rPr>
          <w:rFonts w:ascii="Bookman Old Style" w:hAnsi="Bookman Old Style"/>
          <w:sz w:val="24"/>
          <w:szCs w:val="24"/>
        </w:rPr>
        <w:t xml:space="preserve"> </w:t>
      </w:r>
      <w:r w:rsidRPr="00E65025">
        <w:rPr>
          <w:rFonts w:ascii="Bookman Old Style" w:hAnsi="Bookman Old Style"/>
          <w:sz w:val="24"/>
          <w:szCs w:val="24"/>
        </w:rPr>
        <w:t xml:space="preserve">ha chiesto </w:t>
      </w:r>
      <w:r>
        <w:rPr>
          <w:rFonts w:ascii="Bookman Old Style" w:hAnsi="Bookman Old Style"/>
          <w:sz w:val="24"/>
          <w:szCs w:val="24"/>
        </w:rPr>
        <w:t xml:space="preserve">negli ultimi </w:t>
      </w:r>
      <w:r w:rsidR="00CE0CFE">
        <w:rPr>
          <w:rFonts w:ascii="Bookman Old Style" w:hAnsi="Bookman Old Style"/>
          <w:sz w:val="24"/>
          <w:szCs w:val="24"/>
        </w:rPr>
        <w:t xml:space="preserve">anni </w:t>
      </w:r>
      <w:r w:rsidRPr="00E65025">
        <w:rPr>
          <w:rFonts w:ascii="Bookman Old Style" w:hAnsi="Bookman Old Style"/>
          <w:sz w:val="24"/>
          <w:szCs w:val="24"/>
        </w:rPr>
        <w:t xml:space="preserve">un rallentamento del percorso perequativo, </w:t>
      </w:r>
      <w:r>
        <w:rPr>
          <w:rFonts w:ascii="Bookman Old Style" w:hAnsi="Bookman Old Style"/>
          <w:sz w:val="24"/>
          <w:szCs w:val="24"/>
        </w:rPr>
        <w:t xml:space="preserve">non per diminuirne il significato, ma </w:t>
      </w:r>
      <w:r w:rsidRPr="00E65025">
        <w:rPr>
          <w:rFonts w:ascii="Bookman Old Style" w:hAnsi="Bookman Old Style"/>
          <w:sz w:val="24"/>
          <w:szCs w:val="24"/>
        </w:rPr>
        <w:t>al fine di evitare un ulteriore allontanamento dal disegno federalista e permettere una riflessione più approfondita sulle modalità della perequazione, attraverso l’introduzione dei LEP e di un</w:t>
      </w:r>
      <w:r w:rsidR="001875E7">
        <w:rPr>
          <w:rFonts w:ascii="Bookman Old Style" w:hAnsi="Bookman Old Style"/>
          <w:sz w:val="24"/>
          <w:szCs w:val="24"/>
        </w:rPr>
        <w:t>a</w:t>
      </w:r>
      <w:r w:rsidRPr="00E65025">
        <w:rPr>
          <w:rFonts w:ascii="Bookman Old Style" w:hAnsi="Bookman Old Style"/>
          <w:sz w:val="24"/>
          <w:szCs w:val="24"/>
        </w:rPr>
        <w:t xml:space="preserve"> congrua inserzione di risorse statali di sostegno.</w:t>
      </w:r>
    </w:p>
    <w:p w14:paraId="5668408B" w14:textId="7BD98F54" w:rsidR="008320EB" w:rsidRDefault="008320EB" w:rsidP="008320EB">
      <w:pPr>
        <w:spacing w:after="120" w:line="264" w:lineRule="auto"/>
        <w:rPr>
          <w:rFonts w:ascii="Bookman Old Style" w:hAnsi="Bookman Old Style"/>
          <w:sz w:val="24"/>
          <w:szCs w:val="24"/>
        </w:rPr>
      </w:pPr>
    </w:p>
    <w:p w14:paraId="7880FB38" w14:textId="4AF0BF53" w:rsidR="008320EB" w:rsidRPr="00C634F0" w:rsidRDefault="008320EB" w:rsidP="00C634F0">
      <w:pPr>
        <w:pStyle w:val="Titolo3"/>
        <w:ind w:left="0"/>
        <w:rPr>
          <w:i w:val="0"/>
          <w:iCs/>
        </w:rPr>
      </w:pPr>
      <w:bookmarkStart w:id="3" w:name="_Toc24483139"/>
      <w:r w:rsidRPr="00C634F0">
        <w:rPr>
          <w:i w:val="0"/>
          <w:iCs/>
        </w:rPr>
        <w:t>Il nodo della perequazione orizzontale</w:t>
      </w:r>
      <w:bookmarkEnd w:id="3"/>
    </w:p>
    <w:p w14:paraId="073294AC" w14:textId="1D10C832"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b/>
          <w:sz w:val="24"/>
          <w:szCs w:val="24"/>
        </w:rPr>
        <w:t>Il riparto nell’ambito del FSC è orizzontale</w:t>
      </w:r>
      <w:r w:rsidRPr="00E65025">
        <w:rPr>
          <w:rFonts w:ascii="Bookman Old Style" w:hAnsi="Bookman Old Style"/>
          <w:sz w:val="24"/>
          <w:szCs w:val="24"/>
        </w:rPr>
        <w:t xml:space="preserve">. </w:t>
      </w:r>
    </w:p>
    <w:p w14:paraId="3A7E51BE" w14:textId="77777777" w:rsidR="008320EB" w:rsidRPr="00E65025" w:rsidRDefault="008320EB" w:rsidP="008320EB">
      <w:pPr>
        <w:spacing w:after="120" w:line="264" w:lineRule="auto"/>
        <w:jc w:val="both"/>
        <w:rPr>
          <w:rFonts w:ascii="Bookman Old Style" w:hAnsi="Bookman Old Style"/>
          <w:color w:val="000000" w:themeColor="text1"/>
          <w:sz w:val="24"/>
          <w:szCs w:val="24"/>
        </w:rPr>
      </w:pPr>
      <w:r w:rsidRPr="00E65025">
        <w:rPr>
          <w:rFonts w:ascii="Bookman Old Style" w:hAnsi="Bookman Old Style"/>
          <w:sz w:val="24"/>
          <w:szCs w:val="24"/>
        </w:rPr>
        <w:t xml:space="preserve">Il Fondo non solo è alimentato esclusivamente con una quota predeterminata del gettito standard IMU (22,43%) di competenza comunale, ma </w:t>
      </w:r>
      <w:r w:rsidRPr="00E65025">
        <w:rPr>
          <w:rFonts w:ascii="Bookman Old Style" w:hAnsi="Bookman Old Style"/>
          <w:color w:val="000000" w:themeColor="text1"/>
          <w:sz w:val="24"/>
          <w:szCs w:val="24"/>
        </w:rPr>
        <w:t>oltre 400 milioni annui vengono tuttora acqu</w:t>
      </w:r>
      <w:r>
        <w:rPr>
          <w:rFonts w:ascii="Bookman Old Style" w:hAnsi="Bookman Old Style"/>
          <w:color w:val="000000" w:themeColor="text1"/>
          <w:sz w:val="24"/>
          <w:szCs w:val="24"/>
        </w:rPr>
        <w:t>i</w:t>
      </w:r>
      <w:r w:rsidRPr="00E65025">
        <w:rPr>
          <w:rFonts w:ascii="Bookman Old Style" w:hAnsi="Bookman Old Style"/>
          <w:color w:val="000000" w:themeColor="text1"/>
          <w:sz w:val="24"/>
          <w:szCs w:val="24"/>
        </w:rPr>
        <w:t>siti al bilancio statale.</w:t>
      </w:r>
    </w:p>
    <w:p w14:paraId="1B12B5E6" w14:textId="77777777"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L’orizzontalità del sistema crea una partizione fra </w:t>
      </w:r>
      <w:r w:rsidRPr="00E65025">
        <w:rPr>
          <w:rFonts w:ascii="Bookman Old Style" w:hAnsi="Bookman Old Style"/>
          <w:b/>
          <w:sz w:val="24"/>
          <w:szCs w:val="24"/>
        </w:rPr>
        <w:t>enti che beneficiano del sistema</w:t>
      </w:r>
      <w:r w:rsidRPr="00E65025">
        <w:rPr>
          <w:rFonts w:ascii="Bookman Old Style" w:hAnsi="Bookman Old Style"/>
          <w:sz w:val="24"/>
          <w:szCs w:val="24"/>
        </w:rPr>
        <w:t xml:space="preserve">, </w:t>
      </w:r>
      <w:r w:rsidRPr="00E65025">
        <w:rPr>
          <w:rFonts w:ascii="Bookman Old Style" w:hAnsi="Bookman Old Style"/>
          <w:b/>
          <w:sz w:val="24"/>
          <w:szCs w:val="24"/>
        </w:rPr>
        <w:t>enti in condizione di neutralità</w:t>
      </w:r>
      <w:r w:rsidRPr="00E65025">
        <w:rPr>
          <w:rFonts w:ascii="Bookman Old Style" w:hAnsi="Bookman Old Style"/>
          <w:sz w:val="24"/>
          <w:szCs w:val="24"/>
        </w:rPr>
        <w:t xml:space="preserve"> o quasi neutralità ed </w:t>
      </w:r>
      <w:r w:rsidRPr="00E65025">
        <w:rPr>
          <w:rFonts w:ascii="Bookman Old Style" w:hAnsi="Bookman Old Style"/>
          <w:b/>
          <w:sz w:val="24"/>
          <w:szCs w:val="24"/>
        </w:rPr>
        <w:t>enti che invece risultano penalizzati</w:t>
      </w:r>
      <w:r w:rsidRPr="00E65025">
        <w:rPr>
          <w:rFonts w:ascii="Bookman Old Style" w:hAnsi="Bookman Old Style"/>
          <w:sz w:val="24"/>
          <w:szCs w:val="24"/>
        </w:rPr>
        <w:t>.</w:t>
      </w:r>
    </w:p>
    <w:p w14:paraId="37D90428" w14:textId="77777777"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Nel 2018 e nel 2019, i Comuni RSO che ricevono risorse dal fondo sono 4.326, mentre i Comuni che contribuiscono sono 2.280. Tra questi ultimi 1.070 enti contribuiscono in misura superiore alla quota di alimentazione (c.d. </w:t>
      </w:r>
      <w:r w:rsidRPr="00E65025">
        <w:rPr>
          <w:rFonts w:ascii="Bookman Old Style" w:hAnsi="Bookman Old Style"/>
          <w:b/>
          <w:sz w:val="24"/>
          <w:szCs w:val="24"/>
        </w:rPr>
        <w:t>enti incapienti</w:t>
      </w:r>
      <w:r w:rsidRPr="00E65025">
        <w:rPr>
          <w:rFonts w:ascii="Bookman Old Style" w:hAnsi="Bookman Old Style"/>
          <w:sz w:val="24"/>
          <w:szCs w:val="24"/>
        </w:rPr>
        <w:t xml:space="preserve">), risultando titolari di una spettanza FSC negativa: per questi enti, in altre parole, la dimensione dei gettiti standard è più elevata del totale delle risorse </w:t>
      </w:r>
      <w:r w:rsidRPr="00E65025">
        <w:rPr>
          <w:rFonts w:ascii="Bookman Old Style" w:hAnsi="Bookman Old Style"/>
          <w:sz w:val="24"/>
          <w:szCs w:val="24"/>
        </w:rPr>
        <w:lastRenderedPageBreak/>
        <w:t>che spettano ed è quindi richiesto un versamento aggiuntivo, oltre alla ordinaria trattenuta IMU.</w:t>
      </w:r>
    </w:p>
    <w:p w14:paraId="1B8156F0" w14:textId="36BDCA83"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Un significativo numero di Comuni sopporta un costo elevato </w:t>
      </w:r>
      <w:r>
        <w:rPr>
          <w:rFonts w:ascii="Bookman Old Style" w:hAnsi="Bookman Old Style"/>
          <w:sz w:val="24"/>
          <w:szCs w:val="24"/>
        </w:rPr>
        <w:t xml:space="preserve">per la </w:t>
      </w:r>
      <w:r w:rsidRPr="00E65025">
        <w:rPr>
          <w:rFonts w:ascii="Bookman Old Style" w:hAnsi="Bookman Old Style"/>
          <w:sz w:val="24"/>
          <w:szCs w:val="24"/>
        </w:rPr>
        <w:t xml:space="preserve">redistribuzione, sia in termini pro capite che in percentuale della rispettiva capacità di entrata standard. </w:t>
      </w:r>
      <w:r w:rsidRPr="00E65025">
        <w:rPr>
          <w:rFonts w:ascii="Bookman Old Style" w:hAnsi="Bookman Old Style"/>
          <w:b/>
          <w:sz w:val="24"/>
          <w:szCs w:val="24"/>
        </w:rPr>
        <w:t>Tali variazioni non sono tuttavia facili da spiegare alla propria cittadinanza da parte degli amministratori, che spesso lamentano che una parte consistente dei gettiti richiesti attraverso i tributi locali viene portata via altrove</w:t>
      </w:r>
      <w:r w:rsidRPr="00E65025">
        <w:rPr>
          <w:rFonts w:ascii="Bookman Old Style" w:hAnsi="Bookman Old Style"/>
          <w:sz w:val="24"/>
          <w:szCs w:val="24"/>
        </w:rPr>
        <w:t xml:space="preserve">. </w:t>
      </w:r>
    </w:p>
    <w:p w14:paraId="4BF0F7F3" w14:textId="77777777"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Questo eccesso di orizzontalità è oggi un element</w:t>
      </w:r>
      <w:r>
        <w:rPr>
          <w:rFonts w:ascii="Bookman Old Style" w:hAnsi="Bookman Old Style"/>
          <w:sz w:val="24"/>
          <w:szCs w:val="24"/>
        </w:rPr>
        <w:t>o</w:t>
      </w:r>
      <w:r w:rsidRPr="00E65025">
        <w:rPr>
          <w:rFonts w:ascii="Bookman Old Style" w:hAnsi="Bookman Old Style"/>
          <w:sz w:val="24"/>
          <w:szCs w:val="24"/>
        </w:rPr>
        <w:t xml:space="preserve"> che concorr</w:t>
      </w:r>
      <w:r>
        <w:rPr>
          <w:rFonts w:ascii="Bookman Old Style" w:hAnsi="Bookman Old Style"/>
          <w:sz w:val="24"/>
          <w:szCs w:val="24"/>
        </w:rPr>
        <w:t xml:space="preserve">e </w:t>
      </w:r>
      <w:r w:rsidRPr="00E65025">
        <w:rPr>
          <w:rFonts w:ascii="Bookman Old Style" w:hAnsi="Bookman Old Style"/>
          <w:sz w:val="24"/>
          <w:szCs w:val="24"/>
        </w:rPr>
        <w:t xml:space="preserve">ad alimentare un diffuso sentimento di insoddisfazione verso il sistema perequativo fin qui messo in atto. L’incompletezza del sistema, la sua totale orizzontalità, l’attuazione intervenuta in un periodo di forti restrizioni finanziarie e di continui cambiamenti dell’assetto tributario, hanno messo a dura prova il livello di </w:t>
      </w:r>
      <w:r w:rsidRPr="00E65025">
        <w:rPr>
          <w:rFonts w:ascii="Bookman Old Style" w:hAnsi="Bookman Old Style"/>
          <w:i/>
          <w:sz w:val="24"/>
          <w:szCs w:val="24"/>
        </w:rPr>
        <w:t>compliance</w:t>
      </w:r>
      <w:r w:rsidRPr="00E65025">
        <w:rPr>
          <w:rFonts w:ascii="Bookman Old Style" w:hAnsi="Bookman Old Style"/>
          <w:sz w:val="24"/>
          <w:szCs w:val="24"/>
        </w:rPr>
        <w:t xml:space="preserve"> che sinora si è riusciti ad assicurare al sistema. Appare quanto mai necessario rivedere i fondamenti della perequazione e dotarla di obiettivi e risorse più adeguati alle aspettative, anche attraverso</w:t>
      </w:r>
      <w:r>
        <w:rPr>
          <w:rFonts w:ascii="Bookman Old Style" w:hAnsi="Bookman Old Style"/>
          <w:sz w:val="24"/>
          <w:szCs w:val="24"/>
        </w:rPr>
        <w:t xml:space="preserve"> l’introduzione di una quota “verticale” di risorse assicurata dallo Stato.</w:t>
      </w:r>
    </w:p>
    <w:p w14:paraId="7664F90B" w14:textId="77777777" w:rsidR="008320EB" w:rsidRPr="00E65025" w:rsidRDefault="008320EB" w:rsidP="008320EB">
      <w:pPr>
        <w:spacing w:after="120" w:line="264" w:lineRule="auto"/>
        <w:rPr>
          <w:rFonts w:ascii="Bookman Old Style" w:hAnsi="Bookman Old Style"/>
          <w:sz w:val="24"/>
          <w:szCs w:val="24"/>
        </w:rPr>
      </w:pPr>
    </w:p>
    <w:p w14:paraId="1AB31E0C" w14:textId="3ED952F3" w:rsidR="008320EB" w:rsidRPr="00C634F0" w:rsidRDefault="008320EB" w:rsidP="00C634F0">
      <w:pPr>
        <w:pStyle w:val="Titolo3"/>
        <w:ind w:left="0"/>
        <w:rPr>
          <w:i w:val="0"/>
          <w:iCs/>
        </w:rPr>
      </w:pPr>
      <w:bookmarkStart w:id="4" w:name="_Toc24483140"/>
      <w:r w:rsidRPr="00C634F0">
        <w:rPr>
          <w:i w:val="0"/>
          <w:iCs/>
        </w:rPr>
        <w:t>I Livelli essenziali delle prestazioni (LEP)</w:t>
      </w:r>
      <w:bookmarkEnd w:id="4"/>
    </w:p>
    <w:p w14:paraId="6494805C" w14:textId="77777777"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Le soluzioni tecniche adottate sino ad oggi derivano in larga parte dall’assenza di una misurazione affidabile di livelli assoluti di servizio. </w:t>
      </w:r>
      <w:r w:rsidRPr="00E65025">
        <w:rPr>
          <w:rFonts w:ascii="Bookman Old Style" w:hAnsi="Bookman Old Style"/>
          <w:b/>
          <w:sz w:val="24"/>
          <w:szCs w:val="24"/>
        </w:rPr>
        <w:t>L’ordinamento prevede la determinazione dei Livelli essenziali delle prestazioni (LEP)</w:t>
      </w:r>
      <w:r w:rsidRPr="00E65025">
        <w:rPr>
          <w:rFonts w:ascii="Bookman Old Style" w:hAnsi="Bookman Old Style"/>
          <w:sz w:val="24"/>
          <w:szCs w:val="24"/>
        </w:rPr>
        <w:t xml:space="preserve">, che consiste nella quantificazione delle risorse che mettono in grado ciascun singolo ente, a cominciare dal meno dotato di mezzi propri, di offrire un set di servizi incomprimibile, in quanto presidio dei “diritti civili e sociali che devono essere garantiti su tutto il territorio nazionale” (art. 117 Cost), che deve risultare indifferente alle condizioni di contorno nel quale l’ente si trova ad operare. </w:t>
      </w:r>
    </w:p>
    <w:p w14:paraId="300D26A2" w14:textId="25B73F30"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L’assenza dei LEP, che – come è noto – non sono ancora stati definiti in ambito comunale, ha privato il sistema perequativo di un punto di riferimento ben difficilmente sostituibile. L’impianto redistributivo del FSC è stato realizzato impiegando i valori storici di erogazione dei servizi. </w:t>
      </w:r>
    </w:p>
    <w:p w14:paraId="038FED32" w14:textId="4CC7AC21" w:rsidR="008320EB" w:rsidRPr="00E65025" w:rsidRDefault="008320EB" w:rsidP="008320EB">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In sostanza, l’attuale meccanismo di determinazione e riparto delle risorse comunali </w:t>
      </w:r>
      <w:r w:rsidRPr="00E65025">
        <w:rPr>
          <w:rFonts w:ascii="Bookman Old Style" w:hAnsi="Bookman Old Style"/>
          <w:b/>
          <w:sz w:val="24"/>
          <w:szCs w:val="24"/>
        </w:rPr>
        <w:t>non determina la dimensione del finanziamento “necessario</w:t>
      </w:r>
      <w:r>
        <w:rPr>
          <w:rFonts w:ascii="Bookman Old Style" w:hAnsi="Bookman Old Style"/>
          <w:b/>
          <w:sz w:val="24"/>
          <w:szCs w:val="24"/>
        </w:rPr>
        <w:t>.</w:t>
      </w:r>
      <w:r w:rsidRPr="00E65025">
        <w:rPr>
          <w:rFonts w:ascii="Bookman Old Style" w:hAnsi="Bookman Old Style"/>
          <w:sz w:val="24"/>
          <w:szCs w:val="24"/>
        </w:rPr>
        <w:t xml:space="preserve"> </w:t>
      </w:r>
    </w:p>
    <w:p w14:paraId="438B508F" w14:textId="77777777" w:rsidR="008320EB" w:rsidRPr="00F52DC2" w:rsidRDefault="008320EB" w:rsidP="008320EB">
      <w:pPr>
        <w:spacing w:after="120" w:line="264" w:lineRule="auto"/>
        <w:jc w:val="both"/>
        <w:rPr>
          <w:rFonts w:ascii="Bookman Old Style" w:hAnsi="Bookman Old Style"/>
          <w:sz w:val="24"/>
          <w:szCs w:val="24"/>
          <w:u w:val="single"/>
        </w:rPr>
      </w:pPr>
      <w:r w:rsidRPr="00F52DC2">
        <w:rPr>
          <w:rFonts w:ascii="Bookman Old Style" w:hAnsi="Bookman Old Style"/>
          <w:sz w:val="24"/>
          <w:szCs w:val="24"/>
          <w:u w:val="single"/>
        </w:rPr>
        <w:t xml:space="preserve">Il sistema messo in atto utilizza un apparato di notevole sofisticazione tecnico-metodologica per definire esclusivamente </w:t>
      </w:r>
      <w:r w:rsidRPr="00F52DC2">
        <w:rPr>
          <w:rFonts w:ascii="Bookman Old Style" w:hAnsi="Bookman Old Style"/>
          <w:b/>
          <w:sz w:val="24"/>
          <w:szCs w:val="24"/>
          <w:u w:val="single"/>
        </w:rPr>
        <w:t xml:space="preserve">un insieme di </w:t>
      </w:r>
      <w:r w:rsidRPr="00F52DC2">
        <w:rPr>
          <w:rFonts w:ascii="Bookman Old Style" w:hAnsi="Bookman Old Style"/>
          <w:b/>
          <w:i/>
          <w:sz w:val="24"/>
          <w:szCs w:val="24"/>
          <w:u w:val="single"/>
        </w:rPr>
        <w:t>relatività</w:t>
      </w:r>
      <w:r w:rsidRPr="00F52DC2">
        <w:rPr>
          <w:rFonts w:ascii="Bookman Old Style" w:hAnsi="Bookman Old Style"/>
          <w:sz w:val="24"/>
          <w:szCs w:val="24"/>
          <w:u w:val="single"/>
        </w:rPr>
        <w:t xml:space="preserve"> che assicura di assegnare risorse maggiori a enti sottodotati e viceversa, senza porsi minimamente la domanda della </w:t>
      </w:r>
      <w:r w:rsidRPr="00F52DC2">
        <w:rPr>
          <w:rFonts w:ascii="Bookman Old Style" w:hAnsi="Bookman Old Style"/>
          <w:b/>
          <w:sz w:val="24"/>
          <w:szCs w:val="24"/>
          <w:u w:val="single"/>
        </w:rPr>
        <w:t>congruenza in senso assoluto delle risorse di base disponibili</w:t>
      </w:r>
      <w:r w:rsidRPr="00F52DC2">
        <w:rPr>
          <w:rFonts w:ascii="Bookman Old Style" w:hAnsi="Bookman Old Style"/>
          <w:sz w:val="24"/>
          <w:szCs w:val="24"/>
          <w:u w:val="single"/>
        </w:rPr>
        <w:t>, nel complesso e nello specifico del singolo ente.</w:t>
      </w:r>
    </w:p>
    <w:p w14:paraId="39E1A0E8" w14:textId="42DFB33D" w:rsidR="003849E3" w:rsidRDefault="003849E3" w:rsidP="003849E3">
      <w:pPr>
        <w:spacing w:after="120" w:line="264" w:lineRule="auto"/>
        <w:jc w:val="both"/>
        <w:rPr>
          <w:rFonts w:ascii="Bookman Old Style" w:hAnsi="Bookman Old Style"/>
          <w:sz w:val="24"/>
          <w:szCs w:val="24"/>
        </w:rPr>
      </w:pPr>
      <w:r>
        <w:rPr>
          <w:rFonts w:ascii="Bookman Old Style" w:hAnsi="Bookman Old Style"/>
          <w:sz w:val="24"/>
          <w:szCs w:val="24"/>
        </w:rPr>
        <w:t xml:space="preserve">In questo contesto, </w:t>
      </w:r>
      <w:r w:rsidRPr="001D0B66">
        <w:rPr>
          <w:rFonts w:ascii="Bookman Old Style" w:hAnsi="Bookman Old Style"/>
          <w:b/>
          <w:bCs/>
          <w:sz w:val="24"/>
          <w:szCs w:val="24"/>
        </w:rPr>
        <w:t xml:space="preserve">la prospettiva dell’attuazione dell’articolo 116, terzo comma della Costituzione, il cosiddetto </w:t>
      </w:r>
      <w:r w:rsidRPr="001D0B66">
        <w:rPr>
          <w:rFonts w:ascii="Bookman Old Style" w:hAnsi="Bookman Old Style"/>
          <w:b/>
          <w:bCs/>
          <w:i/>
          <w:iCs/>
          <w:sz w:val="24"/>
          <w:szCs w:val="24"/>
        </w:rPr>
        <w:t>regionalismo differenziato</w:t>
      </w:r>
      <w:r>
        <w:rPr>
          <w:rFonts w:ascii="Bookman Old Style" w:hAnsi="Bookman Old Style"/>
          <w:sz w:val="24"/>
          <w:szCs w:val="24"/>
        </w:rPr>
        <w:t>, pone diverse importanti questioni di coerenza delle nuove forme di autonomia regionale con il sistema delle autonomie locali costituzionalmente tutelato.</w:t>
      </w:r>
    </w:p>
    <w:p w14:paraId="4A06CBA9" w14:textId="77777777" w:rsidR="00AD59DD" w:rsidRPr="00C634F0" w:rsidRDefault="00AD59DD" w:rsidP="00C634F0">
      <w:pPr>
        <w:pStyle w:val="Titolo3"/>
        <w:ind w:left="0"/>
        <w:rPr>
          <w:i w:val="0"/>
          <w:iCs/>
        </w:rPr>
      </w:pPr>
      <w:bookmarkStart w:id="5" w:name="_Toc24483141"/>
      <w:r w:rsidRPr="00C634F0">
        <w:rPr>
          <w:i w:val="0"/>
          <w:iCs/>
        </w:rPr>
        <w:lastRenderedPageBreak/>
        <w:t>Le Città metropolitane</w:t>
      </w:r>
      <w:bookmarkEnd w:id="5"/>
      <w:r w:rsidRPr="00C634F0">
        <w:rPr>
          <w:i w:val="0"/>
          <w:iCs/>
        </w:rPr>
        <w:t xml:space="preserve"> </w:t>
      </w:r>
    </w:p>
    <w:p w14:paraId="01BFE964" w14:textId="77777777" w:rsidR="00AD59DD" w:rsidRDefault="00AD59DD" w:rsidP="00AD59DD">
      <w:pPr>
        <w:pStyle w:val="NormaleWeb"/>
        <w:spacing w:before="0" w:beforeAutospacing="0" w:after="120" w:afterAutospacing="0" w:line="264" w:lineRule="auto"/>
        <w:jc w:val="both"/>
        <w:rPr>
          <w:rFonts w:ascii="Bookman Old Style" w:hAnsi="Bookman Old Style"/>
          <w:color w:val="1A171B"/>
        </w:rPr>
      </w:pPr>
      <w:r w:rsidRPr="001875E7">
        <w:rPr>
          <w:rFonts w:ascii="Bookman Old Style" w:hAnsi="Bookman Old Style"/>
          <w:b/>
          <w:bCs/>
          <w:color w:val="1A171B"/>
        </w:rPr>
        <w:t>La tempesta finanziaria degli scorsi anni ha impedito qualsiasi definizione condivisa dei fabbisogni standard delle CM</w:t>
      </w:r>
      <w:r w:rsidRPr="001875E7">
        <w:rPr>
          <w:rFonts w:ascii="Bookman Old Style" w:hAnsi="Bookman Old Style"/>
          <w:color w:val="1A171B"/>
        </w:rPr>
        <w:t xml:space="preserve">, sulla cui base poter incardinare un percorso di razionalizzazione delle risorse correnti e d’investimento e di definitivo superamento dell’emergenza. </w:t>
      </w:r>
    </w:p>
    <w:p w14:paraId="3A695062" w14:textId="34D43D26" w:rsidR="00AD59DD" w:rsidRPr="001875E7" w:rsidRDefault="00AD59DD" w:rsidP="00AD59DD">
      <w:pPr>
        <w:pStyle w:val="NormaleWeb"/>
        <w:spacing w:before="0" w:beforeAutospacing="0" w:after="120" w:afterAutospacing="0" w:line="264" w:lineRule="auto"/>
        <w:jc w:val="both"/>
        <w:rPr>
          <w:rFonts w:ascii="Bookman Old Style" w:hAnsi="Bookman Old Style"/>
          <w:color w:val="1A171B"/>
        </w:rPr>
      </w:pPr>
      <w:r w:rsidRPr="001875E7">
        <w:rPr>
          <w:rFonts w:ascii="Bookman Old Style" w:hAnsi="Bookman Old Style"/>
          <w:b/>
          <w:color w:val="1A171B"/>
        </w:rPr>
        <w:t>I fabbisogni standard deliberati</w:t>
      </w:r>
      <w:r w:rsidRPr="001875E7">
        <w:rPr>
          <w:rFonts w:ascii="Bookman Old Style" w:hAnsi="Bookman Old Style"/>
          <w:color w:val="1A171B"/>
        </w:rPr>
        <w:t xml:space="preserve"> per il comparto ex provinciale</w:t>
      </w:r>
      <w:r>
        <w:rPr>
          <w:rFonts w:ascii="Bookman Old Style" w:hAnsi="Bookman Old Style"/>
          <w:color w:val="1A171B"/>
        </w:rPr>
        <w:t xml:space="preserve">, che attualmente comprende anche le Città metropolitane </w:t>
      </w:r>
      <w:r w:rsidRPr="001875E7">
        <w:rPr>
          <w:rFonts w:ascii="Bookman Old Style" w:hAnsi="Bookman Old Style"/>
          <w:color w:val="1A171B"/>
        </w:rPr>
        <w:t>(</w:t>
      </w:r>
      <w:proofErr w:type="spellStart"/>
      <w:r w:rsidRPr="001875E7">
        <w:rPr>
          <w:rFonts w:ascii="Bookman Old Style" w:hAnsi="Bookman Old Style"/>
          <w:color w:val="1A171B"/>
        </w:rPr>
        <w:t>ved</w:t>
      </w:r>
      <w:proofErr w:type="spellEnd"/>
      <w:r w:rsidRPr="001875E7">
        <w:rPr>
          <w:rFonts w:ascii="Bookman Old Style" w:hAnsi="Bookman Old Style"/>
          <w:color w:val="1A171B"/>
        </w:rPr>
        <w:t xml:space="preserve">. da ultimo il DPCM 22 febbraio 2018) </w:t>
      </w:r>
      <w:r w:rsidRPr="001875E7">
        <w:rPr>
          <w:rFonts w:ascii="Bookman Old Style" w:hAnsi="Bookman Old Style"/>
          <w:b/>
          <w:color w:val="1A171B"/>
        </w:rPr>
        <w:t>non considerano le funzioni fondamentali assegnate alle CM dalla legge 56/2014 ai sensi dell’articolo 117 della Costituzione</w:t>
      </w:r>
      <w:r w:rsidRPr="001875E7">
        <w:rPr>
          <w:rFonts w:ascii="Bookman Old Style" w:hAnsi="Bookman Old Style"/>
          <w:color w:val="1A171B"/>
        </w:rPr>
        <w:t xml:space="preserve"> e sono completamente scollegati dal sistema di finanziamento. È in corso un tavolo tecnico presso la Commissione tecnica per i fabbisogni standard, </w:t>
      </w:r>
      <w:r>
        <w:rPr>
          <w:rFonts w:ascii="Bookman Old Style" w:hAnsi="Bookman Old Style"/>
          <w:color w:val="1A171B"/>
        </w:rPr>
        <w:t xml:space="preserve">con l’obiettivo di </w:t>
      </w:r>
      <w:r w:rsidRPr="001875E7">
        <w:rPr>
          <w:rFonts w:ascii="Bookman Old Style" w:hAnsi="Bookman Old Style"/>
          <w:color w:val="1A171B"/>
        </w:rPr>
        <w:t xml:space="preserve">procedere </w:t>
      </w:r>
      <w:r>
        <w:rPr>
          <w:rFonts w:ascii="Bookman Old Style" w:hAnsi="Bookman Old Style"/>
          <w:color w:val="1A171B"/>
        </w:rPr>
        <w:t>al</w:t>
      </w:r>
      <w:r w:rsidRPr="001875E7">
        <w:rPr>
          <w:rFonts w:ascii="Bookman Old Style" w:hAnsi="Bookman Old Style"/>
          <w:color w:val="1A171B"/>
        </w:rPr>
        <w:t xml:space="preserve">la </w:t>
      </w:r>
      <w:r>
        <w:rPr>
          <w:rFonts w:ascii="Bookman Old Style" w:hAnsi="Bookman Old Style"/>
          <w:color w:val="1A171B"/>
        </w:rPr>
        <w:t>rideterminazione dei fabbisogni che, nel caso delle Città metropolitane, d</w:t>
      </w:r>
      <w:r w:rsidR="005641BA">
        <w:rPr>
          <w:rFonts w:ascii="Bookman Old Style" w:hAnsi="Bookman Old Style"/>
          <w:color w:val="1A171B"/>
        </w:rPr>
        <w:t xml:space="preserve">eve </w:t>
      </w:r>
      <w:r>
        <w:rPr>
          <w:rFonts w:ascii="Bookman Old Style" w:hAnsi="Bookman Old Style"/>
          <w:color w:val="1A171B"/>
        </w:rPr>
        <w:t xml:space="preserve">necessariamente comprendere </w:t>
      </w:r>
      <w:r w:rsidRPr="001875E7">
        <w:rPr>
          <w:rFonts w:ascii="Bookman Old Style" w:hAnsi="Bookman Old Style"/>
          <w:color w:val="1A171B"/>
        </w:rPr>
        <w:t xml:space="preserve">l’analisi </w:t>
      </w:r>
      <w:r w:rsidRPr="001875E7">
        <w:rPr>
          <w:rFonts w:ascii="Bookman Old Style" w:hAnsi="Bookman Old Style"/>
          <w:i/>
          <w:color w:val="1A171B"/>
        </w:rPr>
        <w:t>ex novo</w:t>
      </w:r>
      <w:r w:rsidRPr="001875E7">
        <w:rPr>
          <w:rFonts w:ascii="Bookman Old Style" w:hAnsi="Bookman Old Style"/>
          <w:color w:val="1A171B"/>
        </w:rPr>
        <w:t xml:space="preserve"> degli oneri per le funzioni fondamentali</w:t>
      </w:r>
      <w:r>
        <w:rPr>
          <w:rFonts w:ascii="Bookman Old Style" w:hAnsi="Bookman Old Style"/>
          <w:color w:val="1A171B"/>
        </w:rPr>
        <w:t xml:space="preserve"> innovative</w:t>
      </w:r>
      <w:r w:rsidRPr="001875E7">
        <w:rPr>
          <w:rFonts w:ascii="Bookman Old Style" w:hAnsi="Bookman Old Style"/>
          <w:color w:val="1A171B"/>
        </w:rPr>
        <w:t xml:space="preserve">, che non possono essere misurati a partire dalla spesa storica </w:t>
      </w:r>
      <w:r>
        <w:rPr>
          <w:rFonts w:ascii="Bookman Old Style" w:hAnsi="Bookman Old Style"/>
          <w:color w:val="1A171B"/>
        </w:rPr>
        <w:t>degli enti</w:t>
      </w:r>
      <w:r w:rsidRPr="001875E7">
        <w:rPr>
          <w:rFonts w:ascii="Bookman Old Style" w:hAnsi="Bookman Old Style"/>
          <w:color w:val="1A171B"/>
        </w:rPr>
        <w:t>.</w:t>
      </w:r>
    </w:p>
    <w:p w14:paraId="753D9C23" w14:textId="77777777" w:rsidR="00AD59DD" w:rsidRPr="001875E7" w:rsidRDefault="00AD59DD" w:rsidP="00AD59DD">
      <w:pPr>
        <w:pStyle w:val="NormaleWeb"/>
        <w:spacing w:before="0" w:beforeAutospacing="0" w:after="120" w:afterAutospacing="0" w:line="264" w:lineRule="auto"/>
        <w:jc w:val="both"/>
        <w:rPr>
          <w:rFonts w:ascii="Bookman Old Style" w:hAnsi="Bookman Old Style"/>
          <w:color w:val="1A171B"/>
        </w:rPr>
      </w:pPr>
      <w:r w:rsidRPr="001875E7">
        <w:rPr>
          <w:rFonts w:ascii="Bookman Old Style" w:hAnsi="Bookman Old Style"/>
          <w:color w:val="1A171B"/>
        </w:rPr>
        <w:t xml:space="preserve">Lo stesso sistema di finanziamento è irrimediabilmente andato in </w:t>
      </w:r>
      <w:r w:rsidRPr="001875E7">
        <w:rPr>
          <w:rFonts w:ascii="Bookman Old Style" w:hAnsi="Bookman Old Style"/>
          <w:i/>
          <w:color w:val="1A171B"/>
        </w:rPr>
        <w:t>tilt</w:t>
      </w:r>
      <w:r w:rsidRPr="001875E7">
        <w:rPr>
          <w:rFonts w:ascii="Bookman Old Style" w:hAnsi="Bookman Old Style"/>
          <w:color w:val="1A171B"/>
        </w:rPr>
        <w:t xml:space="preserve"> attraverso un intricato sovrapporsi di poste passive (contributi alla finanza pubblica) e attive (Fondo di riequilibrio per i pochi enti che ancora ricevono risorse nette dallo Stato e contributi a compensazione dei tagli). </w:t>
      </w:r>
      <w:r w:rsidRPr="001875E7">
        <w:rPr>
          <w:rFonts w:ascii="Bookman Old Style" w:hAnsi="Bookman Old Style"/>
          <w:b/>
          <w:color w:val="1A171B"/>
        </w:rPr>
        <w:t>L’assenza di qualsiasi manovrabilità delle entrate</w:t>
      </w:r>
      <w:r w:rsidRPr="001875E7">
        <w:rPr>
          <w:rFonts w:ascii="Bookman Old Style" w:hAnsi="Bookman Old Style"/>
          <w:color w:val="1A171B"/>
        </w:rPr>
        <w:t xml:space="preserve"> che formalmente sono da considerarsi come “proprie” completa un quadro sganciato da criteri di razionalità e dai requisiti che l’ordinamento – anche costituzionale – richiederebbe per un decentramento responsabile di entrate e spese.</w:t>
      </w:r>
    </w:p>
    <w:p w14:paraId="78009952" w14:textId="40893189" w:rsidR="00AD59DD" w:rsidRDefault="00AD59DD" w:rsidP="003849E3">
      <w:pPr>
        <w:spacing w:after="120" w:line="264" w:lineRule="auto"/>
        <w:jc w:val="both"/>
        <w:rPr>
          <w:rFonts w:ascii="Bookman Old Style" w:hAnsi="Bookman Old Style"/>
          <w:sz w:val="24"/>
          <w:szCs w:val="24"/>
        </w:rPr>
      </w:pPr>
    </w:p>
    <w:p w14:paraId="1588B66C" w14:textId="7EE2DAE6" w:rsidR="006D36DE" w:rsidRPr="006D36DE" w:rsidRDefault="006D36DE" w:rsidP="006D36DE">
      <w:pPr>
        <w:pStyle w:val="Titolo1"/>
      </w:pPr>
      <w:bookmarkStart w:id="6" w:name="_Toc24483142"/>
      <w:r w:rsidRPr="006D36DE">
        <w:t>Fiscalità e autonomia</w:t>
      </w:r>
      <w:r>
        <w:t xml:space="preserve"> locale</w:t>
      </w:r>
      <w:bookmarkEnd w:id="6"/>
    </w:p>
    <w:p w14:paraId="5E182119" w14:textId="77777777" w:rsidR="006D36DE" w:rsidRPr="003840AA" w:rsidRDefault="006D36DE" w:rsidP="003840AA">
      <w:pPr>
        <w:pStyle w:val="Titolo3"/>
        <w:ind w:left="0"/>
        <w:rPr>
          <w:i w:val="0"/>
          <w:iCs/>
        </w:rPr>
      </w:pPr>
      <w:bookmarkStart w:id="7" w:name="_Toc24483143"/>
      <w:r w:rsidRPr="003840AA">
        <w:rPr>
          <w:i w:val="0"/>
          <w:iCs/>
        </w:rPr>
        <w:t>Le ragioni della tassazione immobiliare locale</w:t>
      </w:r>
      <w:bookmarkEnd w:id="7"/>
    </w:p>
    <w:p w14:paraId="5EBAB1A5"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La letteratura economica e tributaria internazionale – confermata dall’esperienza empirica evidenziata nella maggior parte dei Paesi avanzati</w:t>
      </w:r>
      <w:r w:rsidRPr="00E34F41">
        <w:rPr>
          <w:rStyle w:val="Rimandonotaapidipagina"/>
          <w:rFonts w:ascii="Bookman Old Style" w:hAnsi="Bookman Old Style"/>
          <w:color w:val="000000" w:themeColor="text1"/>
          <w:sz w:val="24"/>
          <w:szCs w:val="24"/>
        </w:rPr>
        <w:footnoteReference w:id="1"/>
      </w:r>
      <w:r w:rsidRPr="00E34F41">
        <w:rPr>
          <w:rFonts w:ascii="Bookman Old Style" w:hAnsi="Bookman Old Style"/>
          <w:color w:val="000000" w:themeColor="text1"/>
          <w:sz w:val="24"/>
          <w:szCs w:val="24"/>
        </w:rPr>
        <w:t xml:space="preserve"> – individua nell’ imposta patrimoniale immobiliare (più semplicemente definita imposta immobiliare) lo strumento tributario “ottimo” per il finanziamento, sia pur in via non esclusiva, della spesa pubblica erogata dalle istituzioni di livello locale e più specificatamente dai Comuni. </w:t>
      </w:r>
    </w:p>
    <w:p w14:paraId="4FDC8AB7"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In generale, i contributi teorici relativi alla definizione dell’</w:t>
      </w:r>
      <w:proofErr w:type="spellStart"/>
      <w:r w:rsidRPr="00E34F41">
        <w:rPr>
          <w:rFonts w:ascii="Bookman Old Style" w:hAnsi="Bookman Old Style"/>
          <w:i/>
          <w:color w:val="000000" w:themeColor="text1"/>
          <w:sz w:val="24"/>
          <w:szCs w:val="24"/>
        </w:rPr>
        <w:t>optimal</w:t>
      </w:r>
      <w:proofErr w:type="spellEnd"/>
      <w:r w:rsidRPr="00E34F41">
        <w:rPr>
          <w:rFonts w:ascii="Bookman Old Style" w:hAnsi="Bookman Old Style"/>
          <w:i/>
          <w:color w:val="000000" w:themeColor="text1"/>
          <w:sz w:val="24"/>
          <w:szCs w:val="24"/>
        </w:rPr>
        <w:t xml:space="preserve"> </w:t>
      </w:r>
      <w:proofErr w:type="spellStart"/>
      <w:r w:rsidRPr="00E34F41">
        <w:rPr>
          <w:rFonts w:ascii="Bookman Old Style" w:hAnsi="Bookman Old Style"/>
          <w:i/>
          <w:color w:val="000000" w:themeColor="text1"/>
          <w:sz w:val="24"/>
          <w:szCs w:val="24"/>
        </w:rPr>
        <w:t>local</w:t>
      </w:r>
      <w:proofErr w:type="spellEnd"/>
      <w:r w:rsidRPr="00E34F41">
        <w:rPr>
          <w:rFonts w:ascii="Bookman Old Style" w:hAnsi="Bookman Old Style"/>
          <w:i/>
          <w:color w:val="000000" w:themeColor="text1"/>
          <w:sz w:val="24"/>
          <w:szCs w:val="24"/>
        </w:rPr>
        <w:t xml:space="preserve"> </w:t>
      </w:r>
      <w:proofErr w:type="spellStart"/>
      <w:r w:rsidRPr="00E34F41">
        <w:rPr>
          <w:rFonts w:ascii="Bookman Old Style" w:hAnsi="Bookman Old Style"/>
          <w:i/>
          <w:color w:val="000000" w:themeColor="text1"/>
          <w:sz w:val="24"/>
          <w:szCs w:val="24"/>
        </w:rPr>
        <w:t>taxation</w:t>
      </w:r>
      <w:proofErr w:type="spellEnd"/>
      <w:r w:rsidRPr="00E34F41">
        <w:rPr>
          <w:rFonts w:ascii="Bookman Old Style" w:hAnsi="Bookman Old Style"/>
          <w:i/>
          <w:color w:val="000000" w:themeColor="text1"/>
          <w:sz w:val="24"/>
          <w:szCs w:val="24"/>
        </w:rPr>
        <w:t xml:space="preserve"> </w:t>
      </w:r>
      <w:r w:rsidRPr="00E34F41">
        <w:rPr>
          <w:rFonts w:ascii="Bookman Old Style" w:hAnsi="Bookman Old Style"/>
          <w:color w:val="000000" w:themeColor="text1"/>
          <w:sz w:val="24"/>
          <w:szCs w:val="24"/>
        </w:rPr>
        <w:t>convergono nel ritenere l’imposizione immobiliare la forma di prelievo più consona sia a perseguire i principi di equità tributaria ed efficienza allocativa nella fornitura di beni e servizi pubblici a rilevanza locale, sia a garantire, ad un tempo, sufficienti margini di autonomia fiscale ai governi locali ed un maggior grado di responsabilizzazione (</w:t>
      </w:r>
      <w:r w:rsidRPr="00E34F41">
        <w:rPr>
          <w:rFonts w:ascii="Bookman Old Style" w:hAnsi="Bookman Old Style"/>
          <w:i/>
          <w:color w:val="000000" w:themeColor="text1"/>
          <w:sz w:val="24"/>
          <w:szCs w:val="24"/>
        </w:rPr>
        <w:t>accountability</w:t>
      </w:r>
      <w:r w:rsidRPr="00E34F41">
        <w:rPr>
          <w:rFonts w:ascii="Bookman Old Style" w:hAnsi="Bookman Old Style"/>
          <w:color w:val="000000" w:themeColor="text1"/>
          <w:sz w:val="24"/>
          <w:szCs w:val="24"/>
        </w:rPr>
        <w:t>) in ordine alle scelte di spesa effettuate ed al livello quali-quantitativo dei servizi offerti.</w:t>
      </w:r>
    </w:p>
    <w:p w14:paraId="70F1EEE5" w14:textId="4B86C473"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lastRenderedPageBreak/>
        <w:t>L’imposta immobiliare applicata a livello comunale appare, in primo luogo, idonea a realizzare un</w:t>
      </w:r>
      <w:r w:rsidR="00E34F41" w:rsidRPr="00E34F41">
        <w:rPr>
          <w:rFonts w:ascii="Bookman Old Style" w:hAnsi="Bookman Old Style"/>
          <w:color w:val="000000" w:themeColor="text1"/>
          <w:sz w:val="24"/>
          <w:szCs w:val="24"/>
        </w:rPr>
        <w:t>a</w:t>
      </w:r>
      <w:r w:rsidRPr="00E34F41">
        <w:rPr>
          <w:rFonts w:ascii="Bookman Old Style" w:hAnsi="Bookman Old Style"/>
          <w:color w:val="000000" w:themeColor="text1"/>
          <w:sz w:val="24"/>
          <w:szCs w:val="24"/>
        </w:rPr>
        <w:t xml:space="preserve"> forma di prelievo improntata al </w:t>
      </w:r>
      <w:r w:rsidRPr="00E34F41">
        <w:rPr>
          <w:rFonts w:ascii="Bookman Old Style" w:hAnsi="Bookman Old Style"/>
          <w:b/>
          <w:color w:val="000000" w:themeColor="text1"/>
          <w:sz w:val="24"/>
          <w:szCs w:val="24"/>
        </w:rPr>
        <w:t>criterio del beneficio</w:t>
      </w:r>
      <w:r w:rsidRPr="00E34F41">
        <w:rPr>
          <w:rFonts w:ascii="Bookman Old Style" w:hAnsi="Bookman Old Style"/>
          <w:color w:val="000000" w:themeColor="text1"/>
          <w:sz w:val="24"/>
          <w:szCs w:val="24"/>
        </w:rPr>
        <w:t xml:space="preserve"> – ritenuto preferibile in materia di fiscalità locale al criterio della capacità contributiva – secondo cui il carico tributario deve essere ripartito tra i cittadini sulla base del beneficio che questi traggono dai beni e servizi pubblici di cui usufruiscono. </w:t>
      </w:r>
    </w:p>
    <w:p w14:paraId="5D752571"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In questo senso, l’imposta immobiliare realizza meglio di altri tributi una stretta connessione tra il presupposto di imposta (individuabile nel possesso di immobili) ed il gettito da questa ritraibile, destinato ad interventi di infrastrutturazione e arredo urbanistico (strade, trasporto pubblico locale, illuminazione pubblica, aree verdi etc.) che accrescono a loro volta la rendita ed il valore degli immobili soggetti a tassazione. In altri termini, l’individuazione di una base imponibile costruita sul valore immobiliare, come accade nel caso dell’imposta immobiliare, consente di approssimare il beneficio individuale acquisito dal singolo contribuente in ragione dei servizi pubblici offerti dal Comune e di scontare l’incremento di valore patrimoniale dell’immobile così conseguito attraverso l’assoggettamento a tassazione.</w:t>
      </w:r>
    </w:p>
    <w:p w14:paraId="59324F0B"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 xml:space="preserve">Il legame tra valore patrimoniale dell’immobile e valore dell’intervento pubblico incorporato nel patrimonio dei proprietari degli immobili – fin qui richiamato a giustificazione dell’imposizione immobiliare basata sul principio del beneficio – risulta, inoltre, significativo anche nel caso di erogazione di servizi pubblici diversi da quelli della mobilità e del trasporto pubblico locale in quanto è indubbio che il valore immobiliare risulta condizionato ugualmente dalla presenza o meno di una serie di servizi e garanzie quali l’ordine pubblico (polizia locale), l’istruzione, la prossimità di presidi di assistenza socio-sanitaria etc.  </w:t>
      </w:r>
    </w:p>
    <w:p w14:paraId="33D350C7"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Il collegamento tra presupposto impositivo e servizi pubblici, inoltre, nella misura in cui determina una corrispondenza tra cittadini beneficiari e cittadini contribuenti assolve, secondo la teoria economica prevalente, al compito di massimizzazione dell’</w:t>
      </w:r>
      <w:r w:rsidRPr="00E34F41">
        <w:rPr>
          <w:rFonts w:ascii="Bookman Old Style" w:hAnsi="Bookman Old Style"/>
          <w:b/>
          <w:color w:val="000000" w:themeColor="text1"/>
          <w:sz w:val="24"/>
          <w:szCs w:val="24"/>
        </w:rPr>
        <w:t>efficienza allocativa</w:t>
      </w:r>
      <w:r w:rsidRPr="00E34F41">
        <w:rPr>
          <w:rFonts w:ascii="Bookman Old Style" w:hAnsi="Bookman Old Style"/>
          <w:color w:val="000000" w:themeColor="text1"/>
          <w:sz w:val="24"/>
          <w:szCs w:val="24"/>
        </w:rPr>
        <w:t xml:space="preserve"> che si raggiunge attraverso la fornitura della quantità “ottima” di servizi. Tale assunto teorico trova maggiore riscontro nel caso in cui la tassazione ricada in misura prevalente sui cittadini residenti (tipicamente prime abitazioni), mentre risulta attenuato laddove i servizi vengano finanziati prevalentemente da non residenti (seconde case). In tale ultimo caso, infatti, il disallineamento tra soggetti fruitori e soggetti finanziatori dei servizi pubblici può condurre ad una fornitura inefficiente degli stessi sia sotto il profilo della quantità – che può essere addirittura eccessiva – che della qualità. </w:t>
      </w:r>
    </w:p>
    <w:p w14:paraId="30D24482"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Inoltre, il venir meno della corrispondenza tra beneficiario e finanziatore (c.d. esportazione di imposta) rende più blando il controllo degli elettori (che sono per definizione cittadini residenti) sulla fornitura dei servizi riducendo la possibilità di sanzionare/premiare con il voto la responsabilità politica degli eletti (</w:t>
      </w:r>
      <w:r w:rsidRPr="00E34F41">
        <w:rPr>
          <w:rFonts w:ascii="Bookman Old Style" w:hAnsi="Bookman Old Style"/>
          <w:b/>
          <w:i/>
          <w:color w:val="000000" w:themeColor="text1"/>
          <w:sz w:val="24"/>
          <w:szCs w:val="24"/>
        </w:rPr>
        <w:t>accountability</w:t>
      </w:r>
      <w:r w:rsidRPr="00E34F41">
        <w:rPr>
          <w:rFonts w:ascii="Bookman Old Style" w:hAnsi="Bookman Old Style"/>
          <w:color w:val="000000" w:themeColor="text1"/>
          <w:sz w:val="24"/>
          <w:szCs w:val="24"/>
        </w:rPr>
        <w:t xml:space="preserve">) in ordine alle politiche adottate. </w:t>
      </w:r>
    </w:p>
    <w:p w14:paraId="0FD4618F"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 xml:space="preserve">Diversa, invece, la questione nel caso di Comuni “turistici”, dove la presenza di numerose seconde case e la fornitura di ulteriori servizi destinati proprio a beneficio dei non residenti, ad esempio nei periodi estivi, giustifica ed anzi rende auspicabile la tassazione dei non residenti medesimi. Infine, sia che si tratti di Comuni turistici o meno, la tassazione posta in campo ai non residenti risulta egualmente giustificabile in quanto questi beneficiano, sia pure indirettamente, della spesa comunale in termini di servizi ed infrastrutture che, come illustrato poco sopra, </w:t>
      </w:r>
      <w:r w:rsidRPr="00E34F41">
        <w:rPr>
          <w:rFonts w:ascii="Bookman Old Style" w:hAnsi="Bookman Old Style"/>
          <w:color w:val="000000" w:themeColor="text1"/>
          <w:sz w:val="24"/>
          <w:szCs w:val="24"/>
        </w:rPr>
        <w:lastRenderedPageBreak/>
        <w:t xml:space="preserve">influenza quanto meno il valore patrimoniale di tutti gli immobili, indipendentemente dalla residenza o meno dei suoi proprietari. </w:t>
      </w:r>
    </w:p>
    <w:p w14:paraId="1F47D2F6"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 xml:space="preserve">La scelta di un tributo locale disegnato su una base imponibile fissa, quale è quella immobiliare, consente poi di prevenire </w:t>
      </w:r>
      <w:r w:rsidRPr="00E34F41">
        <w:rPr>
          <w:rFonts w:ascii="Bookman Old Style" w:hAnsi="Bookman Old Style"/>
          <w:color w:val="000000" w:themeColor="text1"/>
          <w:sz w:val="24"/>
          <w:szCs w:val="24"/>
        </w:rPr>
        <w:softHyphen/>
        <w:t xml:space="preserve">– diversamente da basi imponibili tarate sui redditi personali o societari – l’innescarsi di fenomeni di </w:t>
      </w:r>
      <w:r w:rsidRPr="00E34F41">
        <w:rPr>
          <w:rFonts w:ascii="Bookman Old Style" w:hAnsi="Bookman Old Style"/>
          <w:b/>
          <w:color w:val="000000" w:themeColor="text1"/>
          <w:sz w:val="24"/>
          <w:szCs w:val="24"/>
        </w:rPr>
        <w:t>competizione fiscale orizzontale</w:t>
      </w:r>
      <w:r w:rsidRPr="00E34F41">
        <w:rPr>
          <w:rFonts w:ascii="Bookman Old Style" w:hAnsi="Bookman Old Style"/>
          <w:color w:val="000000" w:themeColor="text1"/>
          <w:sz w:val="24"/>
          <w:szCs w:val="24"/>
        </w:rPr>
        <w:t xml:space="preserve"> tra istituzioni locali che finirebbero per avviare una corsa alla riduzione competitiva di aliquote (</w:t>
      </w:r>
      <w:r w:rsidRPr="00E34F41">
        <w:rPr>
          <w:rFonts w:ascii="Bookman Old Style" w:hAnsi="Bookman Old Style"/>
          <w:i/>
          <w:color w:val="000000" w:themeColor="text1"/>
          <w:sz w:val="24"/>
          <w:szCs w:val="24"/>
        </w:rPr>
        <w:t>race to the bottom</w:t>
      </w:r>
      <w:r w:rsidRPr="00E34F41">
        <w:rPr>
          <w:rFonts w:ascii="Bookman Old Style" w:hAnsi="Bookman Old Style"/>
          <w:color w:val="000000" w:themeColor="text1"/>
          <w:sz w:val="24"/>
          <w:szCs w:val="24"/>
        </w:rPr>
        <w:t xml:space="preserve">) nel tentativo di attrarre maggiori contribuenti da enti limitrofi determinando in ultima istanza una riduzione complessiva della capacità fiscale dell’intero comparto ed una conseguente contrazione di capacità di offerta di servizi ed infrastrutture minando per questa via i presupposti stessi della crescita economica. Più nello specifico, l’assoggettamento ad imposta locale di una base imponibile poco mobile garantisce agli enti locali maggiore spazio di azione nel manovrare le aliquote tributarie – non dovendo temere, se non in misura residuale (si pensi agli immobili destinati ad attività produttive), l’esodo dei propri contribuenti verso enti con tassazione più favorevole – e quindi </w:t>
      </w:r>
      <w:r w:rsidRPr="00E34F41">
        <w:rPr>
          <w:rFonts w:ascii="Bookman Old Style" w:hAnsi="Bookman Old Style"/>
          <w:b/>
          <w:color w:val="000000" w:themeColor="text1"/>
          <w:sz w:val="24"/>
          <w:szCs w:val="24"/>
        </w:rPr>
        <w:t>maggiore autonomia decisionale e finanziaria</w:t>
      </w:r>
      <w:r w:rsidRPr="00E34F41">
        <w:rPr>
          <w:rFonts w:ascii="Bookman Old Style" w:hAnsi="Bookman Old Style"/>
          <w:color w:val="000000" w:themeColor="text1"/>
          <w:sz w:val="24"/>
          <w:szCs w:val="24"/>
        </w:rPr>
        <w:t xml:space="preserve"> nel determinare la quantità e qualità dei beni e servizi che si intende offrire alla collettività.</w:t>
      </w:r>
    </w:p>
    <w:p w14:paraId="1F1872CF" w14:textId="77777777" w:rsidR="006D36DE" w:rsidRPr="00E34F41" w:rsidRDefault="006D36DE" w:rsidP="00E34F41">
      <w:pPr>
        <w:spacing w:after="120" w:line="240" w:lineRule="auto"/>
        <w:jc w:val="both"/>
        <w:rPr>
          <w:rFonts w:ascii="Bookman Old Style" w:hAnsi="Bookman Old Style"/>
          <w:color w:val="000000" w:themeColor="text1"/>
          <w:sz w:val="24"/>
          <w:szCs w:val="24"/>
        </w:rPr>
      </w:pPr>
      <w:r w:rsidRPr="00E34F41">
        <w:rPr>
          <w:rFonts w:ascii="Bookman Old Style" w:hAnsi="Bookman Old Style"/>
          <w:color w:val="000000" w:themeColor="text1"/>
          <w:sz w:val="24"/>
          <w:szCs w:val="24"/>
        </w:rPr>
        <w:t>Ad accresce l’autonomia finanziaria degli enti locali, contribuisce inoltre la circostanza che la base imponibile immobiliare assicura – ancora una volta diversamente da imposte di natura reddituale – una maggiore stabilità e prevedibilità del gettito che non appare troppo legato al ciclo economico, situazione che facilita una maggiore programmazione degli interventi pubblici anche in considerazione del fatto che i governi locali forniscono in larga parte servizi di natura essenziale per la cittadinanza.</w:t>
      </w:r>
    </w:p>
    <w:p w14:paraId="6AC14CBD" w14:textId="77777777" w:rsidR="006D36DE" w:rsidRPr="00E34F41" w:rsidRDefault="006D36DE" w:rsidP="00E34F41">
      <w:pPr>
        <w:spacing w:after="120" w:line="240" w:lineRule="auto"/>
        <w:jc w:val="both"/>
        <w:rPr>
          <w:rFonts w:ascii="Bookman Old Style" w:hAnsi="Bookman Old Style"/>
          <w:b/>
          <w:color w:val="9CC2E5" w:themeColor="accent1" w:themeTint="99"/>
          <w:sz w:val="24"/>
          <w:szCs w:val="24"/>
        </w:rPr>
      </w:pPr>
    </w:p>
    <w:p w14:paraId="14A9EA5F" w14:textId="77777777" w:rsidR="006D36DE" w:rsidRPr="003840AA" w:rsidRDefault="006D36DE" w:rsidP="003840AA">
      <w:pPr>
        <w:pStyle w:val="Titolo3"/>
        <w:ind w:left="0"/>
        <w:rPr>
          <w:i w:val="0"/>
          <w:iCs/>
        </w:rPr>
      </w:pPr>
      <w:bookmarkStart w:id="8" w:name="_Toc24483144"/>
      <w:r w:rsidRPr="003840AA">
        <w:rPr>
          <w:i w:val="0"/>
          <w:iCs/>
        </w:rPr>
        <w:t>L’imposta comunale immobiliare in Italia e le principali problematiche</w:t>
      </w:r>
      <w:bookmarkEnd w:id="8"/>
    </w:p>
    <w:p w14:paraId="33FC6FF4" w14:textId="77777777"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A fronte delle argomentazioni teoriche che giustificano a tutt’oggi la preferenza, nel campo dell’imposizione fiscale locale, per un tributo gravante sugli immobili, l’ordinamento italiano nel corso degli anni si è caratterizzato per la presenza di alcune caratteristiche distorsive che inficiano per buona parte il quadro teorico appena descritto e che necessitano di un intervento correttivo di riforma da parte del legislatore.</w:t>
      </w:r>
    </w:p>
    <w:p w14:paraId="5298C1FC" w14:textId="77777777"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 xml:space="preserve">Come noto, la funzione di tributo immobiliare locale è stata assolta negli anni recenti prima dall’ICI (introdotta nel 1992/1993), poi dall’IMU – vigente a decorre dal 2012 in sostituzione dell’ICI – attualmente in vigore insieme alla Tasi ed alla Tari come autonoma componente immobiliare della c.d. IUC (Imposta unica Comunale) istituita nel 2014. </w:t>
      </w:r>
    </w:p>
    <w:p w14:paraId="1E75C26F" w14:textId="77777777"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 xml:space="preserve">Tra le motivazioni che “inquinano” e che contribuiscono a rendere frammentaria e poco razionale l’imposta municipale sugli immobili figurano aspetti tanto </w:t>
      </w:r>
      <w:r w:rsidRPr="005448A3">
        <w:rPr>
          <w:rFonts w:ascii="Bookman Old Style" w:hAnsi="Bookman Old Style"/>
          <w:b/>
          <w:color w:val="000000" w:themeColor="text1"/>
          <w:sz w:val="24"/>
          <w:szCs w:val="24"/>
        </w:rPr>
        <w:t>strutturali</w:t>
      </w:r>
      <w:r w:rsidRPr="005448A3">
        <w:rPr>
          <w:rFonts w:ascii="Bookman Old Style" w:hAnsi="Bookman Old Style"/>
          <w:color w:val="000000" w:themeColor="text1"/>
          <w:sz w:val="24"/>
          <w:szCs w:val="24"/>
        </w:rPr>
        <w:t xml:space="preserve"> quanto </w:t>
      </w:r>
      <w:r w:rsidRPr="005448A3">
        <w:rPr>
          <w:rFonts w:ascii="Bookman Old Style" w:hAnsi="Bookman Old Style"/>
          <w:b/>
          <w:color w:val="000000" w:themeColor="text1"/>
          <w:sz w:val="24"/>
          <w:szCs w:val="24"/>
        </w:rPr>
        <w:t>contingenti</w:t>
      </w:r>
      <w:r w:rsidRPr="005448A3">
        <w:rPr>
          <w:rFonts w:ascii="Bookman Old Style" w:hAnsi="Bookman Old Style"/>
          <w:color w:val="000000" w:themeColor="text1"/>
          <w:sz w:val="24"/>
          <w:szCs w:val="24"/>
        </w:rPr>
        <w:t xml:space="preserve"> – spesso legati a scelte di finanza statale connesse alla tenuta dei conti – che hanno finito col condizionare fino a snaturare ciascuno degli elementi di bontà astrattamente garantiti su un piano teorico dall’imposta patrimoniale immobiliare applicata su base locale.</w:t>
      </w:r>
    </w:p>
    <w:p w14:paraId="0AA77106" w14:textId="2ACBE121"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Un elemento preliminare sul quale occorre porre particolare attenzione è quello che attiene alla mancata riforma del catasto ed all’aggiornamento dei valori contenuti nelle rendite catastali immobiliari, stante il fatto che, come è noto, quest</w:t>
      </w:r>
      <w:r w:rsidR="003840AA" w:rsidRPr="005448A3">
        <w:rPr>
          <w:rFonts w:ascii="Bookman Old Style" w:hAnsi="Bookman Old Style"/>
          <w:color w:val="000000" w:themeColor="text1"/>
          <w:sz w:val="24"/>
          <w:szCs w:val="24"/>
        </w:rPr>
        <w:t xml:space="preserve">e </w:t>
      </w:r>
      <w:r w:rsidRPr="005448A3">
        <w:rPr>
          <w:rFonts w:ascii="Bookman Old Style" w:hAnsi="Bookman Old Style"/>
          <w:color w:val="000000" w:themeColor="text1"/>
          <w:sz w:val="24"/>
          <w:szCs w:val="24"/>
        </w:rPr>
        <w:t xml:space="preserve">ultime </w:t>
      </w:r>
      <w:r w:rsidRPr="005448A3">
        <w:rPr>
          <w:rFonts w:ascii="Bookman Old Style" w:hAnsi="Bookman Old Style"/>
          <w:color w:val="000000" w:themeColor="text1"/>
          <w:sz w:val="24"/>
          <w:szCs w:val="24"/>
        </w:rPr>
        <w:lastRenderedPageBreak/>
        <w:t>costituiscono la base imponibile su cui viene calcolato l’importo dovuto sia a titolo di IMU che di Tasi.</w:t>
      </w:r>
      <w:r w:rsidR="003840AA" w:rsidRPr="005448A3">
        <w:rPr>
          <w:rFonts w:ascii="Bookman Old Style" w:hAnsi="Bookman Old Style"/>
          <w:color w:val="000000" w:themeColor="text1"/>
          <w:sz w:val="24"/>
          <w:szCs w:val="24"/>
        </w:rPr>
        <w:t xml:space="preserve"> </w:t>
      </w:r>
      <w:r w:rsidRPr="005448A3">
        <w:rPr>
          <w:rFonts w:ascii="Bookman Old Style" w:hAnsi="Bookman Old Style"/>
          <w:color w:val="000000" w:themeColor="text1"/>
          <w:sz w:val="24"/>
          <w:szCs w:val="24"/>
        </w:rPr>
        <w:t xml:space="preserve">Il permanere di </w:t>
      </w:r>
      <w:r w:rsidRPr="005448A3">
        <w:rPr>
          <w:rFonts w:ascii="Bookman Old Style" w:hAnsi="Bookman Old Style"/>
          <w:b/>
          <w:bCs/>
          <w:color w:val="000000" w:themeColor="text1"/>
          <w:sz w:val="24"/>
          <w:szCs w:val="24"/>
        </w:rPr>
        <w:t>valori catastali non aggiornati</w:t>
      </w:r>
      <w:r w:rsidRPr="005448A3">
        <w:rPr>
          <w:rFonts w:ascii="Bookman Old Style" w:hAnsi="Bookman Old Style"/>
          <w:color w:val="000000" w:themeColor="text1"/>
          <w:sz w:val="24"/>
          <w:szCs w:val="24"/>
        </w:rPr>
        <w:t xml:space="preserve"> e pertanto poco predittivi dei reali valori immobiliari riscontrabili sul mercato, determina non solo marcati profili di iniquità  connessi all’effettiva capacità contributiva – esemplificati tipicamente dal fatto che immobili ubicati in zone centrali e di maggior pregio scontano, a parità di metri quadri, un tributo più basso di immobili ubicati in zone periferiche ma con attribuzione di rendita più recente –  ma anche il venir meno di quel collegamento tra rendita catastale e valore dell’immobile che si ritiene posto a fondamento della imposizione fiscale basata sul principio del beneficio. In mancanza di un aggiornamento coerente dei valori castali, infatti, non è possibile ritenere che l’IMU colpisca l’aumento del valore degli immobili legato all’intervento del Comune sul territorio e pertanto non risulta rispettato il principale assunto giustificativo di tale prelievo che poggia sul criterio del beneficio, come in precedenza descritto. </w:t>
      </w:r>
    </w:p>
    <w:p w14:paraId="3DE815C2" w14:textId="6A887B57"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 xml:space="preserve">Tale problema, già significativo in vigenza dell’ICI, risulta oggi fortemente acuito dall’introduzione dell’IMU, in quanto il nuovo meccanismo di definizione della base imponibile – e di conseguenza dell’imposta dovuta – prevede l’applicazione ai valori desumibili dal catasto di moltiplicatori più elevati che determinano, in ultima istanza, un effetto maggiormente distorsivo in termini di valore assoluto.  </w:t>
      </w:r>
    </w:p>
    <w:p w14:paraId="4D40CEB0" w14:textId="73A5E72C"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 xml:space="preserve">Con riguardo alla disciplina di matrice più squisitamente </w:t>
      </w:r>
      <w:r w:rsidRPr="005448A3">
        <w:rPr>
          <w:rFonts w:ascii="Bookman Old Style" w:hAnsi="Bookman Old Style"/>
          <w:bCs/>
          <w:color w:val="000000" w:themeColor="text1"/>
          <w:sz w:val="24"/>
          <w:szCs w:val="24"/>
        </w:rPr>
        <w:t>tributaria</w:t>
      </w:r>
      <w:r w:rsidRPr="005448A3">
        <w:rPr>
          <w:rFonts w:ascii="Bookman Old Style" w:hAnsi="Bookman Old Style"/>
          <w:color w:val="000000" w:themeColor="text1"/>
          <w:sz w:val="24"/>
          <w:szCs w:val="24"/>
        </w:rPr>
        <w:t xml:space="preserve">, un primo fattore certamente distorsivo è </w:t>
      </w:r>
      <w:r w:rsidRPr="005448A3">
        <w:rPr>
          <w:rFonts w:ascii="Bookman Old Style" w:hAnsi="Bookman Old Style"/>
          <w:color w:val="000000" w:themeColor="text1"/>
          <w:sz w:val="24"/>
          <w:szCs w:val="24"/>
        </w:rPr>
        <w:softHyphen/>
      </w:r>
      <w:r w:rsidRPr="005448A3">
        <w:rPr>
          <w:rFonts w:ascii="Bookman Old Style" w:hAnsi="Bookman Old Style"/>
          <w:color w:val="000000" w:themeColor="text1"/>
          <w:sz w:val="24"/>
          <w:szCs w:val="24"/>
        </w:rPr>
        <w:softHyphen/>
      </w:r>
      <w:r w:rsidRPr="005448A3">
        <w:rPr>
          <w:rFonts w:ascii="Bookman Old Style" w:hAnsi="Bookman Old Style"/>
          <w:color w:val="000000" w:themeColor="text1"/>
          <w:sz w:val="24"/>
          <w:szCs w:val="24"/>
        </w:rPr>
        <w:softHyphen/>
        <w:t xml:space="preserve">quello che vede la </w:t>
      </w:r>
      <w:r w:rsidRPr="005448A3">
        <w:rPr>
          <w:rFonts w:ascii="Bookman Old Style" w:hAnsi="Bookman Old Style"/>
          <w:b/>
          <w:bCs/>
          <w:color w:val="000000" w:themeColor="text1"/>
          <w:sz w:val="24"/>
          <w:szCs w:val="24"/>
        </w:rPr>
        <w:t>contemporanea vigenza a fianco dell’IMU della Tasi</w:t>
      </w:r>
      <w:r w:rsidRPr="005448A3">
        <w:rPr>
          <w:rFonts w:ascii="Bookman Old Style" w:hAnsi="Bookman Old Style"/>
          <w:color w:val="000000" w:themeColor="text1"/>
          <w:sz w:val="24"/>
          <w:szCs w:val="24"/>
        </w:rPr>
        <w:t>, un tributo solo apparentemente diverso ma che nella sostanza – se si eccettua la circostanza che la Tasi è dovuta anche dall’utilizzatore dell’immobile per una percentuale cha varia dal 10% al 30% in ragione delle scelte comunali</w:t>
      </w:r>
      <w:r w:rsidRPr="005448A3">
        <w:rPr>
          <w:rStyle w:val="Rimandonotaapidipagina"/>
          <w:rFonts w:ascii="Bookman Old Style" w:hAnsi="Bookman Old Style"/>
          <w:color w:val="000000" w:themeColor="text1"/>
          <w:sz w:val="24"/>
          <w:szCs w:val="24"/>
        </w:rPr>
        <w:footnoteReference w:id="2"/>
      </w:r>
      <w:r w:rsidRPr="005448A3">
        <w:rPr>
          <w:rFonts w:ascii="Bookman Old Style" w:hAnsi="Bookman Old Style"/>
          <w:color w:val="000000" w:themeColor="text1"/>
          <w:sz w:val="24"/>
          <w:szCs w:val="24"/>
        </w:rPr>
        <w:t xml:space="preserve"> – non rappresenta una “</w:t>
      </w:r>
      <w:r w:rsidRPr="005448A3">
        <w:rPr>
          <w:rFonts w:ascii="Bookman Old Style" w:hAnsi="Bookman Old Style"/>
          <w:i/>
          <w:color w:val="000000" w:themeColor="text1"/>
          <w:sz w:val="24"/>
          <w:szCs w:val="24"/>
        </w:rPr>
        <w:t>service tax</w:t>
      </w:r>
      <w:r w:rsidRPr="005448A3">
        <w:rPr>
          <w:rFonts w:ascii="Bookman Old Style" w:hAnsi="Bookman Old Style"/>
          <w:color w:val="000000" w:themeColor="text1"/>
          <w:sz w:val="24"/>
          <w:szCs w:val="24"/>
        </w:rPr>
        <w:t xml:space="preserve">” bensì una sorta di “sovraimposta” all’IMU in quanto gravante, con alcune eccezioni, sui medesimi presupposti d’imposta. </w:t>
      </w:r>
      <w:r w:rsidR="003840AA" w:rsidRPr="005448A3">
        <w:rPr>
          <w:rFonts w:ascii="Bookman Old Style" w:hAnsi="Bookman Old Style"/>
          <w:color w:val="000000" w:themeColor="text1"/>
          <w:sz w:val="24"/>
          <w:szCs w:val="24"/>
        </w:rPr>
        <w:t xml:space="preserve">Come è noto la </w:t>
      </w:r>
      <w:r w:rsidRPr="005448A3">
        <w:rPr>
          <w:rFonts w:ascii="Bookman Old Style" w:hAnsi="Bookman Old Style"/>
          <w:color w:val="000000" w:themeColor="text1"/>
          <w:sz w:val="24"/>
          <w:szCs w:val="24"/>
        </w:rPr>
        <w:t xml:space="preserve">soluzione alla duplicazione d’imposta così generata </w:t>
      </w:r>
      <w:r w:rsidR="005F1F34" w:rsidRPr="005448A3">
        <w:rPr>
          <w:rFonts w:ascii="Bookman Old Style" w:hAnsi="Bookman Old Style"/>
          <w:color w:val="000000" w:themeColor="text1"/>
          <w:sz w:val="24"/>
          <w:szCs w:val="24"/>
        </w:rPr>
        <w:t xml:space="preserve">è oggi in discussione parlamentare nell’ambito della sessione di bilancio. Il </w:t>
      </w:r>
      <w:proofErr w:type="spellStart"/>
      <w:r w:rsidR="005F1F34" w:rsidRPr="005448A3">
        <w:rPr>
          <w:rFonts w:ascii="Bookman Old Style" w:hAnsi="Bookman Old Style"/>
          <w:color w:val="000000" w:themeColor="text1"/>
          <w:sz w:val="24"/>
          <w:szCs w:val="24"/>
        </w:rPr>
        <w:t>ddl</w:t>
      </w:r>
      <w:proofErr w:type="spellEnd"/>
      <w:r w:rsidR="005F1F34" w:rsidRPr="005448A3">
        <w:rPr>
          <w:rFonts w:ascii="Bookman Old Style" w:hAnsi="Bookman Old Style"/>
          <w:color w:val="000000" w:themeColor="text1"/>
          <w:sz w:val="24"/>
          <w:szCs w:val="24"/>
        </w:rPr>
        <w:t xml:space="preserve"> Bilancio prevede </w:t>
      </w:r>
      <w:r w:rsidR="005F1F34" w:rsidRPr="005448A3">
        <w:rPr>
          <w:rFonts w:ascii="Bookman Old Style" w:hAnsi="Bookman Old Style"/>
          <w:b/>
          <w:bCs/>
          <w:color w:val="000000" w:themeColor="text1"/>
          <w:sz w:val="24"/>
          <w:szCs w:val="24"/>
        </w:rPr>
        <w:t>l’assorbimento della Tasi in una “nuova IMU”</w:t>
      </w:r>
      <w:r w:rsidRPr="005448A3">
        <w:rPr>
          <w:rFonts w:ascii="Bookman Old Style" w:hAnsi="Bookman Old Style"/>
          <w:color w:val="000000" w:themeColor="text1"/>
          <w:sz w:val="24"/>
          <w:szCs w:val="24"/>
        </w:rPr>
        <w:t xml:space="preserve">, in un’ottica di invarianza di gettito e di semplificazione della normativa a beneficio sia degli </w:t>
      </w:r>
      <w:r w:rsidR="005F1F34" w:rsidRPr="005448A3">
        <w:rPr>
          <w:rFonts w:ascii="Bookman Old Style" w:hAnsi="Bookman Old Style"/>
          <w:color w:val="000000" w:themeColor="text1"/>
          <w:sz w:val="24"/>
          <w:szCs w:val="24"/>
        </w:rPr>
        <w:t xml:space="preserve">uffici </w:t>
      </w:r>
      <w:r w:rsidRPr="005448A3">
        <w:rPr>
          <w:rFonts w:ascii="Bookman Old Style" w:hAnsi="Bookman Old Style"/>
          <w:color w:val="000000" w:themeColor="text1"/>
          <w:sz w:val="24"/>
          <w:szCs w:val="24"/>
        </w:rPr>
        <w:t xml:space="preserve">comunali che dei contribuenti. </w:t>
      </w:r>
    </w:p>
    <w:p w14:paraId="7D2E5315" w14:textId="4B904ADB" w:rsidR="006D36DE" w:rsidRPr="005448A3" w:rsidRDefault="005F1F34"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 xml:space="preserve">Sull’IMU </w:t>
      </w:r>
      <w:r w:rsidR="006D36DE" w:rsidRPr="005448A3">
        <w:rPr>
          <w:rFonts w:ascii="Bookman Old Style" w:hAnsi="Bookman Old Style"/>
          <w:color w:val="000000" w:themeColor="text1"/>
          <w:sz w:val="24"/>
          <w:szCs w:val="24"/>
        </w:rPr>
        <w:t xml:space="preserve">continua a gravare, inoltre, un problema di “illusione fiscale” generato dal permanere di una riserva dello Stato sul gettito derivante dall’applicazione </w:t>
      </w:r>
      <w:r w:rsidRPr="005448A3">
        <w:rPr>
          <w:rFonts w:ascii="Bookman Old Style" w:hAnsi="Bookman Old Style"/>
          <w:color w:val="000000" w:themeColor="text1"/>
          <w:sz w:val="24"/>
          <w:szCs w:val="24"/>
        </w:rPr>
        <w:t xml:space="preserve">del tributo </w:t>
      </w:r>
      <w:r w:rsidR="006D36DE" w:rsidRPr="005448A3">
        <w:rPr>
          <w:rFonts w:ascii="Bookman Old Style" w:hAnsi="Bookman Old Style"/>
          <w:color w:val="000000" w:themeColor="text1"/>
          <w:sz w:val="24"/>
          <w:szCs w:val="24"/>
        </w:rPr>
        <w:t xml:space="preserve">(ad aliquota di base dello 0,76%) </w:t>
      </w:r>
      <w:r w:rsidRPr="005448A3">
        <w:rPr>
          <w:rFonts w:ascii="Bookman Old Style" w:hAnsi="Bookman Old Style"/>
          <w:color w:val="000000" w:themeColor="text1"/>
          <w:sz w:val="24"/>
          <w:szCs w:val="24"/>
        </w:rPr>
        <w:t>su</w:t>
      </w:r>
      <w:r w:rsidR="006D36DE" w:rsidRPr="005448A3">
        <w:rPr>
          <w:rFonts w:ascii="Bookman Old Style" w:hAnsi="Bookman Old Style"/>
          <w:color w:val="000000" w:themeColor="text1"/>
          <w:sz w:val="24"/>
          <w:szCs w:val="24"/>
        </w:rPr>
        <w:t xml:space="preserve">gli immobili ad uso produttivo ricadenti nella categoria catastale D. </w:t>
      </w:r>
    </w:p>
    <w:p w14:paraId="3DD568A5" w14:textId="2CCAEBB4"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Il mantenimento di tale riserva</w:t>
      </w:r>
      <w:r w:rsidR="005F1F34" w:rsidRPr="005448A3">
        <w:rPr>
          <w:rFonts w:ascii="Bookman Old Style" w:hAnsi="Bookman Old Style"/>
          <w:color w:val="000000" w:themeColor="text1"/>
          <w:sz w:val="24"/>
          <w:szCs w:val="24"/>
        </w:rPr>
        <w:t xml:space="preserve"> </w:t>
      </w:r>
      <w:r w:rsidRPr="005448A3">
        <w:rPr>
          <w:rFonts w:ascii="Bookman Old Style" w:hAnsi="Bookman Old Style"/>
          <w:color w:val="000000" w:themeColor="text1"/>
          <w:sz w:val="24"/>
          <w:szCs w:val="24"/>
        </w:rPr>
        <w:softHyphen/>
        <w:t xml:space="preserve">– </w:t>
      </w:r>
      <w:r w:rsidR="005F1F34" w:rsidRPr="005448A3">
        <w:rPr>
          <w:rFonts w:ascii="Bookman Old Style" w:hAnsi="Bookman Old Style"/>
          <w:color w:val="000000" w:themeColor="text1"/>
          <w:sz w:val="24"/>
          <w:szCs w:val="24"/>
        </w:rPr>
        <w:t xml:space="preserve">che pure potrebbe </w:t>
      </w:r>
      <w:r w:rsidRPr="005448A3">
        <w:rPr>
          <w:rFonts w:ascii="Bookman Old Style" w:hAnsi="Bookman Old Style"/>
          <w:color w:val="000000" w:themeColor="text1"/>
          <w:sz w:val="24"/>
          <w:szCs w:val="24"/>
        </w:rPr>
        <w:t>giustifica</w:t>
      </w:r>
      <w:r w:rsidR="005F1F34" w:rsidRPr="005448A3">
        <w:rPr>
          <w:rFonts w:ascii="Bookman Old Style" w:hAnsi="Bookman Old Style"/>
          <w:color w:val="000000" w:themeColor="text1"/>
          <w:sz w:val="24"/>
          <w:szCs w:val="24"/>
        </w:rPr>
        <w:t xml:space="preserve">rsi per via di </w:t>
      </w:r>
      <w:r w:rsidRPr="005448A3">
        <w:rPr>
          <w:rFonts w:ascii="Bookman Old Style" w:hAnsi="Bookman Old Style"/>
          <w:color w:val="000000" w:themeColor="text1"/>
          <w:sz w:val="24"/>
          <w:szCs w:val="24"/>
        </w:rPr>
        <w:t xml:space="preserve"> una distribuzione degli immobili “D” sul territorio nazionale altamente disomogenea, </w:t>
      </w:r>
      <w:r w:rsidR="005F1F34" w:rsidRPr="005448A3">
        <w:rPr>
          <w:rFonts w:ascii="Bookman Old Style" w:hAnsi="Bookman Old Style"/>
          <w:color w:val="000000" w:themeColor="text1"/>
          <w:sz w:val="24"/>
          <w:szCs w:val="24"/>
        </w:rPr>
        <w:t xml:space="preserve">oltre che per la </w:t>
      </w:r>
      <w:r w:rsidRPr="005448A3">
        <w:rPr>
          <w:rFonts w:ascii="Bookman Old Style" w:hAnsi="Bookman Old Style"/>
          <w:color w:val="000000" w:themeColor="text1"/>
          <w:sz w:val="24"/>
          <w:szCs w:val="24"/>
        </w:rPr>
        <w:t xml:space="preserve">necessità di acquisire </w:t>
      </w:r>
      <w:r w:rsidR="005F1F34" w:rsidRPr="005448A3">
        <w:rPr>
          <w:rFonts w:ascii="Bookman Old Style" w:hAnsi="Bookman Old Style"/>
          <w:color w:val="000000" w:themeColor="text1"/>
          <w:sz w:val="24"/>
          <w:szCs w:val="24"/>
        </w:rPr>
        <w:t xml:space="preserve">risorse da parte dello Stato per il </w:t>
      </w:r>
      <w:r w:rsidRPr="005448A3">
        <w:rPr>
          <w:rFonts w:ascii="Bookman Old Style" w:hAnsi="Bookman Old Style"/>
          <w:color w:val="000000" w:themeColor="text1"/>
          <w:sz w:val="24"/>
          <w:szCs w:val="24"/>
        </w:rPr>
        <w:t xml:space="preserve">rispetto dei saldi programmati di finanza pubblica – trasla in maniera impropria </w:t>
      </w:r>
      <w:r w:rsidR="005F1F34" w:rsidRPr="005448A3">
        <w:rPr>
          <w:rFonts w:ascii="Bookman Old Style" w:hAnsi="Bookman Old Style"/>
          <w:color w:val="000000" w:themeColor="text1"/>
          <w:sz w:val="24"/>
          <w:szCs w:val="24"/>
        </w:rPr>
        <w:t xml:space="preserve">sui Comuni </w:t>
      </w:r>
      <w:r w:rsidRPr="005448A3">
        <w:rPr>
          <w:rFonts w:ascii="Bookman Old Style" w:hAnsi="Bookman Old Style"/>
          <w:color w:val="000000" w:themeColor="text1"/>
          <w:sz w:val="24"/>
          <w:szCs w:val="24"/>
        </w:rPr>
        <w:t xml:space="preserve">la responsabilità politico-amministrativa di esazione e di giustificazione degli impieghi di un gettito che agli occhi dei contribuente deriva da un tributo nominalmente </w:t>
      </w:r>
      <w:r w:rsidRPr="005448A3">
        <w:rPr>
          <w:rFonts w:ascii="Bookman Old Style" w:hAnsi="Bookman Old Style"/>
          <w:color w:val="000000" w:themeColor="text1"/>
          <w:sz w:val="24"/>
          <w:szCs w:val="24"/>
        </w:rPr>
        <w:lastRenderedPageBreak/>
        <w:t xml:space="preserve">comunale, ma che risulta a tutti gli effetti di prevalente destinazione statale, eccezion fatta per la </w:t>
      </w:r>
      <w:r w:rsidR="005F1F34" w:rsidRPr="005448A3">
        <w:rPr>
          <w:rFonts w:ascii="Bookman Old Style" w:hAnsi="Bookman Old Style"/>
          <w:color w:val="000000" w:themeColor="text1"/>
          <w:sz w:val="24"/>
          <w:szCs w:val="24"/>
        </w:rPr>
        <w:t xml:space="preserve">quota di incremento fino </w:t>
      </w:r>
      <w:r w:rsidRPr="005448A3">
        <w:rPr>
          <w:rFonts w:ascii="Bookman Old Style" w:hAnsi="Bookman Old Style"/>
          <w:color w:val="000000" w:themeColor="text1"/>
          <w:sz w:val="24"/>
          <w:szCs w:val="24"/>
        </w:rPr>
        <w:t xml:space="preserve">allo 0,3% </w:t>
      </w:r>
      <w:r w:rsidR="005F1F34" w:rsidRPr="005448A3">
        <w:rPr>
          <w:rFonts w:ascii="Bookman Old Style" w:hAnsi="Bookman Old Style"/>
          <w:color w:val="000000" w:themeColor="text1"/>
          <w:sz w:val="24"/>
          <w:szCs w:val="24"/>
        </w:rPr>
        <w:t>dell</w:t>
      </w:r>
      <w:r w:rsidRPr="005448A3">
        <w:rPr>
          <w:rFonts w:ascii="Bookman Old Style" w:hAnsi="Bookman Old Style"/>
          <w:color w:val="000000" w:themeColor="text1"/>
          <w:sz w:val="24"/>
          <w:szCs w:val="24"/>
        </w:rPr>
        <w:t xml:space="preserve">’aliquota di base dello 0,76%, </w:t>
      </w:r>
      <w:r w:rsidR="005F1F34" w:rsidRPr="005448A3">
        <w:rPr>
          <w:rFonts w:ascii="Bookman Old Style" w:hAnsi="Bookman Old Style"/>
          <w:color w:val="000000" w:themeColor="text1"/>
          <w:sz w:val="24"/>
          <w:szCs w:val="24"/>
        </w:rPr>
        <w:t>il cui gettito resta al Comune</w:t>
      </w:r>
      <w:r w:rsidRPr="005448A3">
        <w:rPr>
          <w:rFonts w:ascii="Bookman Old Style" w:hAnsi="Bookman Old Style"/>
          <w:color w:val="000000" w:themeColor="text1"/>
          <w:sz w:val="24"/>
          <w:szCs w:val="24"/>
        </w:rPr>
        <w:t>.</w:t>
      </w:r>
      <w:r w:rsidRPr="005448A3">
        <w:rPr>
          <w:rFonts w:ascii="Bookman Old Style" w:hAnsi="Bookman Old Style"/>
          <w:color w:val="000000" w:themeColor="text1"/>
          <w:szCs w:val="24"/>
        </w:rPr>
        <w:t xml:space="preserve"> </w:t>
      </w:r>
      <w:r w:rsidRPr="005448A3">
        <w:rPr>
          <w:rFonts w:ascii="Bookman Old Style" w:hAnsi="Bookman Old Style"/>
          <w:color w:val="000000" w:themeColor="text1"/>
          <w:sz w:val="24"/>
          <w:szCs w:val="24"/>
        </w:rPr>
        <w:t>Il permanere di tale effetto distorsivo impone ad avviso dell’ANCI il ripensamento dell’attuale assetto normativo nel senso quanto meno di poter superare l’ambiguità di fondo di una componente dell’IMU i cui benefici in termini finanziari, a fronte di un costo politico-amministrativo interamente addossato</w:t>
      </w:r>
      <w:r w:rsidR="005F1F34" w:rsidRPr="005448A3">
        <w:rPr>
          <w:rFonts w:ascii="Bookman Old Style" w:hAnsi="Bookman Old Style"/>
          <w:color w:val="000000" w:themeColor="text1"/>
          <w:sz w:val="24"/>
          <w:szCs w:val="24"/>
        </w:rPr>
        <w:t xml:space="preserve"> all’ente locale</w:t>
      </w:r>
      <w:r w:rsidRPr="005448A3">
        <w:rPr>
          <w:rFonts w:ascii="Bookman Old Style" w:hAnsi="Bookman Old Style"/>
          <w:color w:val="000000" w:themeColor="text1"/>
          <w:sz w:val="24"/>
          <w:szCs w:val="24"/>
        </w:rPr>
        <w:t xml:space="preserve">, </w:t>
      </w:r>
      <w:r w:rsidR="005F1F34" w:rsidRPr="005448A3">
        <w:rPr>
          <w:rFonts w:ascii="Bookman Old Style" w:hAnsi="Bookman Old Style"/>
          <w:color w:val="000000" w:themeColor="text1"/>
          <w:sz w:val="24"/>
          <w:szCs w:val="24"/>
        </w:rPr>
        <w:t xml:space="preserve">sono </w:t>
      </w:r>
      <w:r w:rsidRPr="005448A3">
        <w:rPr>
          <w:rFonts w:ascii="Bookman Old Style" w:hAnsi="Bookman Old Style"/>
          <w:color w:val="000000" w:themeColor="text1"/>
          <w:sz w:val="24"/>
          <w:szCs w:val="24"/>
        </w:rPr>
        <w:t xml:space="preserve">a </w:t>
      </w:r>
      <w:r w:rsidR="005F1F34" w:rsidRPr="005448A3">
        <w:rPr>
          <w:rFonts w:ascii="Bookman Old Style" w:hAnsi="Bookman Old Style"/>
          <w:color w:val="000000" w:themeColor="text1"/>
          <w:sz w:val="24"/>
          <w:szCs w:val="24"/>
        </w:rPr>
        <w:t xml:space="preserve">prevalente </w:t>
      </w:r>
      <w:r w:rsidRPr="005448A3">
        <w:rPr>
          <w:rFonts w:ascii="Bookman Old Style" w:hAnsi="Bookman Old Style"/>
          <w:color w:val="000000" w:themeColor="text1"/>
          <w:sz w:val="24"/>
          <w:szCs w:val="24"/>
        </w:rPr>
        <w:t xml:space="preserve">vantaggio dell’erario (cfr. figura 1).   </w:t>
      </w:r>
    </w:p>
    <w:p w14:paraId="7DE08167" w14:textId="4B38E957" w:rsidR="006D36DE" w:rsidRPr="005448A3" w:rsidRDefault="006D36DE" w:rsidP="006D36DE">
      <w:pPr>
        <w:pStyle w:val="Didascalia"/>
        <w:keepNext/>
        <w:rPr>
          <w:b/>
          <w:bCs/>
          <w:sz w:val="20"/>
          <w:szCs w:val="20"/>
        </w:rPr>
      </w:pPr>
      <w:r w:rsidRPr="005448A3">
        <w:rPr>
          <w:b/>
          <w:bCs/>
          <w:noProof/>
          <w:sz w:val="20"/>
          <w:szCs w:val="20"/>
        </w:rPr>
        <mc:AlternateContent>
          <mc:Choice Requires="wps">
            <w:drawing>
              <wp:anchor distT="0" distB="0" distL="114300" distR="114300" simplePos="0" relativeHeight="251662336" behindDoc="1" locked="0" layoutInCell="1" allowOverlap="1" wp14:anchorId="5F1BB31C" wp14:editId="44B32299">
                <wp:simplePos x="0" y="0"/>
                <wp:positionH relativeFrom="column">
                  <wp:posOffset>774065</wp:posOffset>
                </wp:positionH>
                <wp:positionV relativeFrom="paragraph">
                  <wp:posOffset>2995930</wp:posOffset>
                </wp:positionV>
                <wp:extent cx="4572000" cy="635"/>
                <wp:effectExtent l="0" t="0" r="0" b="0"/>
                <wp:wrapTight wrapText="bothSides">
                  <wp:wrapPolygon edited="0">
                    <wp:start x="0" y="0"/>
                    <wp:lineTo x="0" y="21600"/>
                    <wp:lineTo x="21600" y="21600"/>
                    <wp:lineTo x="21600" y="0"/>
                  </wp:wrapPolygon>
                </wp:wrapTight>
                <wp:docPr id="2" name="Casella di testo 2"/>
                <wp:cNvGraphicFramePr/>
                <a:graphic xmlns:a="http://schemas.openxmlformats.org/drawingml/2006/main">
                  <a:graphicData uri="http://schemas.microsoft.com/office/word/2010/wordprocessingShape">
                    <wps:wsp>
                      <wps:cNvSpPr txBox="1"/>
                      <wps:spPr>
                        <a:xfrm>
                          <a:off x="0" y="0"/>
                          <a:ext cx="4572000" cy="635"/>
                        </a:xfrm>
                        <a:prstGeom prst="rect">
                          <a:avLst/>
                        </a:prstGeom>
                        <a:solidFill>
                          <a:prstClr val="white"/>
                        </a:solidFill>
                        <a:ln>
                          <a:noFill/>
                        </a:ln>
                      </wps:spPr>
                      <wps:txbx>
                        <w:txbxContent>
                          <w:p w14:paraId="5FD8A408" w14:textId="77777777" w:rsidR="006D36DE" w:rsidRPr="005448A3" w:rsidRDefault="006D36DE" w:rsidP="006D36DE">
                            <w:pPr>
                              <w:pStyle w:val="Didascalia"/>
                              <w:rPr>
                                <w:b/>
                                <w:noProof/>
                                <w:sz w:val="16"/>
                                <w:szCs w:val="16"/>
                              </w:rPr>
                            </w:pPr>
                            <w:r w:rsidRPr="005448A3">
                              <w:rPr>
                                <w:b/>
                                <w:sz w:val="16"/>
                                <w:szCs w:val="16"/>
                              </w:rPr>
                              <w:t>Fonte: elaborazione IFEL su dati incassi F24 al 31 marzo 2019</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F1BB31C" id="_x0000_t202" coordsize="21600,21600" o:spt="202" path="m,l,21600r21600,l21600,xe">
                <v:stroke joinstyle="miter"/>
                <v:path gradientshapeok="t" o:connecttype="rect"/>
              </v:shapetype>
              <v:shape id="Casella di testo 2" o:spid="_x0000_s1026" type="#_x0000_t202" style="position:absolute;margin-left:60.95pt;margin-top:235.9pt;width:5in;height:.0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" stroked="f">
                <v:textbox style="mso-fit-shape-to-text:t" inset="0,0,0,0">
                  <w:txbxContent>
                    <w:p w14:paraId="5FD8A408" w14:textId="77777777" w:rsidR="006D36DE" w:rsidRPr="005448A3" w:rsidRDefault="006D36DE" w:rsidP="006D36DE">
                      <w:pPr>
                        <w:pStyle w:val="Didascalia"/>
                        <w:rPr>
                          <w:b/>
                          <w:noProof/>
                          <w:sz w:val="16"/>
                          <w:szCs w:val="16"/>
                        </w:rPr>
                      </w:pPr>
                      <w:r w:rsidRPr="005448A3">
                        <w:rPr>
                          <w:b/>
                          <w:sz w:val="16"/>
                          <w:szCs w:val="16"/>
                        </w:rPr>
                        <w:t>Fonte: elaborazione IFEL su dati incassi F24 al 31 marzo 2019</w:t>
                      </w:r>
                    </w:p>
                  </w:txbxContent>
                </v:textbox>
                <w10:wrap type="tight"/>
              </v:shape>
            </w:pict>
          </mc:Fallback>
        </mc:AlternateContent>
      </w:r>
      <w:r w:rsidRPr="005448A3">
        <w:rPr>
          <w:b/>
          <w:bCs/>
          <w:noProof/>
          <w:sz w:val="20"/>
          <w:szCs w:val="20"/>
        </w:rPr>
        <w:drawing>
          <wp:anchor distT="0" distB="0" distL="114300" distR="114300" simplePos="0" relativeHeight="251661312" behindDoc="1" locked="0" layoutInCell="1" allowOverlap="1" wp14:anchorId="274310DD" wp14:editId="52EABA7D">
            <wp:simplePos x="0" y="0"/>
            <wp:positionH relativeFrom="margin">
              <wp:align>center</wp:align>
            </wp:positionH>
            <wp:positionV relativeFrom="paragraph">
              <wp:posOffset>195919</wp:posOffset>
            </wp:positionV>
            <wp:extent cx="4572000" cy="2743200"/>
            <wp:effectExtent l="0" t="0" r="0" b="0"/>
            <wp:wrapTight wrapText="bothSides">
              <wp:wrapPolygon edited="0">
                <wp:start x="0" y="0"/>
                <wp:lineTo x="0" y="21450"/>
                <wp:lineTo x="21510" y="21450"/>
                <wp:lineTo x="21510" y="0"/>
                <wp:lineTo x="0" y="0"/>
              </wp:wrapPolygon>
            </wp:wrapTight>
            <wp:docPr id="3" name="Grafico 3">
              <a:extLst xmlns:a="http://schemas.openxmlformats.org/drawingml/2006/main">
                <a:ext uri="{FF2B5EF4-FFF2-40B4-BE49-F238E27FC236}">
                  <a16:creationId xmlns:a16="http://schemas.microsoft.com/office/drawing/2014/main" id="{8A75F058-4E6D-4C98-A4CA-E30AFF1913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Pr="005448A3">
        <w:rPr>
          <w:b/>
          <w:bCs/>
          <w:sz w:val="20"/>
          <w:szCs w:val="20"/>
        </w:rPr>
        <w:t xml:space="preserve">                             Figura </w:t>
      </w:r>
      <w:r w:rsidRPr="005448A3">
        <w:rPr>
          <w:b/>
          <w:bCs/>
          <w:sz w:val="20"/>
          <w:szCs w:val="20"/>
        </w:rPr>
        <w:fldChar w:fldCharType="begin"/>
      </w:r>
      <w:r w:rsidRPr="005448A3">
        <w:rPr>
          <w:b/>
          <w:bCs/>
          <w:sz w:val="20"/>
          <w:szCs w:val="20"/>
        </w:rPr>
        <w:instrText xml:space="preserve"> SEQ Figura \* ARABIC </w:instrText>
      </w:r>
      <w:r w:rsidRPr="005448A3">
        <w:rPr>
          <w:b/>
          <w:bCs/>
          <w:sz w:val="20"/>
          <w:szCs w:val="20"/>
        </w:rPr>
        <w:fldChar w:fldCharType="separate"/>
      </w:r>
      <w:r w:rsidR="00C36B56">
        <w:rPr>
          <w:b/>
          <w:bCs/>
          <w:noProof/>
          <w:sz w:val="20"/>
          <w:szCs w:val="20"/>
        </w:rPr>
        <w:t>1</w:t>
      </w:r>
      <w:r w:rsidRPr="005448A3">
        <w:rPr>
          <w:b/>
          <w:bCs/>
          <w:sz w:val="20"/>
          <w:szCs w:val="20"/>
        </w:rPr>
        <w:fldChar w:fldCharType="end"/>
      </w:r>
      <w:r w:rsidRPr="005448A3">
        <w:rPr>
          <w:b/>
          <w:bCs/>
          <w:sz w:val="20"/>
          <w:szCs w:val="20"/>
        </w:rPr>
        <w:t xml:space="preserve"> Gettito Immobili D - valori in euro </w:t>
      </w:r>
      <w:r w:rsidRPr="005448A3">
        <w:rPr>
          <w:b/>
          <w:bCs/>
          <w:sz w:val="20"/>
          <w:szCs w:val="20"/>
        </w:rPr>
        <w:softHyphen/>
      </w:r>
    </w:p>
    <w:p w14:paraId="28D14CFF" w14:textId="77777777" w:rsidR="006D36DE" w:rsidRDefault="006D36DE" w:rsidP="006D36DE">
      <w:pPr>
        <w:spacing w:after="0" w:line="240" w:lineRule="auto"/>
        <w:jc w:val="center"/>
        <w:rPr>
          <w:rFonts w:ascii="Bookman Old Style" w:hAnsi="Bookman Old Style"/>
          <w:color w:val="000000" w:themeColor="text1"/>
        </w:rPr>
      </w:pPr>
    </w:p>
    <w:p w14:paraId="0083A0CB" w14:textId="77777777" w:rsidR="006D36DE" w:rsidRDefault="006D36DE" w:rsidP="006D36DE">
      <w:pPr>
        <w:spacing w:after="0" w:line="240" w:lineRule="auto"/>
        <w:jc w:val="both"/>
        <w:rPr>
          <w:rFonts w:ascii="Bookman Old Style" w:hAnsi="Bookman Old Style"/>
          <w:color w:val="000000" w:themeColor="text1"/>
        </w:rPr>
      </w:pPr>
    </w:p>
    <w:p w14:paraId="54BC2A2B" w14:textId="77777777" w:rsidR="006D36DE" w:rsidRDefault="006D36DE" w:rsidP="006D36DE">
      <w:pPr>
        <w:spacing w:after="0" w:line="240" w:lineRule="auto"/>
        <w:jc w:val="both"/>
        <w:rPr>
          <w:rFonts w:ascii="Bookman Old Style" w:hAnsi="Bookman Old Style"/>
          <w:color w:val="000000" w:themeColor="text1"/>
        </w:rPr>
      </w:pPr>
    </w:p>
    <w:p w14:paraId="51AA83B8" w14:textId="77777777" w:rsidR="006D36DE" w:rsidRDefault="006D36DE" w:rsidP="006D36DE">
      <w:pPr>
        <w:spacing w:after="0" w:line="240" w:lineRule="auto"/>
        <w:jc w:val="both"/>
        <w:rPr>
          <w:rFonts w:ascii="Bookman Old Style" w:hAnsi="Bookman Old Style"/>
          <w:b/>
          <w:color w:val="000000" w:themeColor="text1"/>
        </w:rPr>
      </w:pPr>
    </w:p>
    <w:p w14:paraId="158C15D1" w14:textId="77777777" w:rsidR="006D36DE" w:rsidRDefault="006D36DE" w:rsidP="006D36DE">
      <w:pPr>
        <w:spacing w:after="0" w:line="240" w:lineRule="auto"/>
        <w:jc w:val="both"/>
        <w:rPr>
          <w:rFonts w:ascii="Bookman Old Style" w:hAnsi="Bookman Old Style"/>
          <w:color w:val="000000" w:themeColor="text1"/>
        </w:rPr>
      </w:pPr>
    </w:p>
    <w:p w14:paraId="3A2DC2F3" w14:textId="77777777" w:rsidR="006D36DE" w:rsidRDefault="006D36DE" w:rsidP="006D36DE">
      <w:pPr>
        <w:spacing w:after="0" w:line="240" w:lineRule="auto"/>
        <w:jc w:val="both"/>
        <w:rPr>
          <w:rFonts w:ascii="Bookman Old Style" w:hAnsi="Bookman Old Style"/>
          <w:color w:val="000000" w:themeColor="text1"/>
        </w:rPr>
      </w:pPr>
    </w:p>
    <w:p w14:paraId="089CBDD2" w14:textId="77777777" w:rsidR="006D36DE" w:rsidRDefault="006D36DE" w:rsidP="006D36DE">
      <w:pPr>
        <w:spacing w:after="0" w:line="240" w:lineRule="auto"/>
        <w:jc w:val="both"/>
        <w:rPr>
          <w:rFonts w:ascii="Bookman Old Style" w:hAnsi="Bookman Old Style"/>
          <w:color w:val="000000" w:themeColor="text1"/>
        </w:rPr>
      </w:pPr>
    </w:p>
    <w:p w14:paraId="002AD718" w14:textId="77777777" w:rsidR="006D36DE" w:rsidRDefault="006D36DE" w:rsidP="006D36DE">
      <w:pPr>
        <w:spacing w:after="0" w:line="240" w:lineRule="auto"/>
        <w:jc w:val="both"/>
        <w:rPr>
          <w:rFonts w:ascii="Bookman Old Style" w:hAnsi="Bookman Old Style"/>
          <w:color w:val="000000" w:themeColor="text1"/>
        </w:rPr>
      </w:pPr>
    </w:p>
    <w:p w14:paraId="068A50DF" w14:textId="77777777" w:rsidR="006D36DE" w:rsidRDefault="006D36DE" w:rsidP="006D36DE">
      <w:pPr>
        <w:spacing w:after="0" w:line="240" w:lineRule="auto"/>
        <w:jc w:val="both"/>
        <w:rPr>
          <w:rFonts w:ascii="Bookman Old Style" w:hAnsi="Bookman Old Style"/>
          <w:color w:val="000000" w:themeColor="text1"/>
        </w:rPr>
      </w:pPr>
    </w:p>
    <w:p w14:paraId="034D2161" w14:textId="77777777" w:rsidR="006D36DE" w:rsidRDefault="006D36DE" w:rsidP="006D36DE">
      <w:pPr>
        <w:spacing w:after="0" w:line="240" w:lineRule="auto"/>
        <w:jc w:val="both"/>
        <w:rPr>
          <w:rFonts w:ascii="Bookman Old Style" w:hAnsi="Bookman Old Style"/>
          <w:color w:val="000000" w:themeColor="text1"/>
        </w:rPr>
      </w:pPr>
    </w:p>
    <w:p w14:paraId="41064816" w14:textId="77777777" w:rsidR="006D36DE" w:rsidRDefault="006D36DE" w:rsidP="006D36DE">
      <w:pPr>
        <w:spacing w:after="0" w:line="240" w:lineRule="auto"/>
        <w:jc w:val="both"/>
        <w:rPr>
          <w:rFonts w:ascii="Bookman Old Style" w:hAnsi="Bookman Old Style"/>
          <w:color w:val="000000" w:themeColor="text1"/>
        </w:rPr>
      </w:pPr>
    </w:p>
    <w:p w14:paraId="2908505A" w14:textId="77777777" w:rsidR="006D36DE" w:rsidRDefault="006D36DE" w:rsidP="006D36DE">
      <w:pPr>
        <w:spacing w:after="0" w:line="240" w:lineRule="auto"/>
        <w:jc w:val="both"/>
        <w:rPr>
          <w:rFonts w:ascii="Bookman Old Style" w:hAnsi="Bookman Old Style"/>
          <w:color w:val="000000" w:themeColor="text1"/>
        </w:rPr>
      </w:pPr>
    </w:p>
    <w:p w14:paraId="3EFF46B1" w14:textId="77777777" w:rsidR="006D36DE" w:rsidRDefault="006D36DE" w:rsidP="006D36DE">
      <w:pPr>
        <w:spacing w:after="0" w:line="240" w:lineRule="auto"/>
        <w:jc w:val="both"/>
        <w:rPr>
          <w:rFonts w:ascii="Bookman Old Style" w:hAnsi="Bookman Old Style"/>
          <w:color w:val="000000" w:themeColor="text1"/>
        </w:rPr>
      </w:pPr>
    </w:p>
    <w:p w14:paraId="6247BE67" w14:textId="77777777" w:rsidR="006D36DE" w:rsidRDefault="006D36DE" w:rsidP="006D36DE">
      <w:pPr>
        <w:spacing w:after="0" w:line="240" w:lineRule="auto"/>
        <w:jc w:val="both"/>
        <w:rPr>
          <w:rFonts w:ascii="Bookman Old Style" w:hAnsi="Bookman Old Style"/>
          <w:color w:val="000000" w:themeColor="text1"/>
        </w:rPr>
      </w:pPr>
    </w:p>
    <w:p w14:paraId="756067E8" w14:textId="77777777" w:rsidR="006D36DE" w:rsidRDefault="006D36DE" w:rsidP="006D36DE">
      <w:pPr>
        <w:jc w:val="both"/>
        <w:rPr>
          <w:rFonts w:ascii="Bookman Old Style" w:hAnsi="Bookman Old Style"/>
          <w:color w:val="000000" w:themeColor="text1"/>
        </w:rPr>
      </w:pPr>
    </w:p>
    <w:p w14:paraId="0E7F1E1B" w14:textId="77777777" w:rsidR="006D36DE" w:rsidRDefault="006D36DE" w:rsidP="006D36DE">
      <w:pPr>
        <w:jc w:val="both"/>
        <w:rPr>
          <w:rFonts w:ascii="Bookman Old Style" w:hAnsi="Bookman Old Style"/>
          <w:color w:val="000000" w:themeColor="text1"/>
        </w:rPr>
      </w:pPr>
    </w:p>
    <w:p w14:paraId="631894AC" w14:textId="77777777" w:rsidR="005448A3" w:rsidRDefault="005448A3" w:rsidP="005448A3">
      <w:pPr>
        <w:spacing w:after="120" w:line="240" w:lineRule="auto"/>
        <w:jc w:val="both"/>
        <w:rPr>
          <w:rFonts w:ascii="Bookman Old Style" w:hAnsi="Bookman Old Style"/>
          <w:color w:val="000000" w:themeColor="text1"/>
          <w:sz w:val="24"/>
          <w:szCs w:val="24"/>
        </w:rPr>
      </w:pPr>
    </w:p>
    <w:p w14:paraId="07764A79" w14:textId="6F211467"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 xml:space="preserve">Ulteriore elemento di alterazione del meccanismo di </w:t>
      </w:r>
      <w:r w:rsidRPr="005448A3">
        <w:rPr>
          <w:rFonts w:ascii="Bookman Old Style" w:hAnsi="Bookman Old Style"/>
          <w:i/>
          <w:color w:val="000000" w:themeColor="text1"/>
          <w:sz w:val="24"/>
          <w:szCs w:val="24"/>
        </w:rPr>
        <w:t>accountability</w:t>
      </w:r>
      <w:r w:rsidRPr="005448A3">
        <w:rPr>
          <w:rFonts w:ascii="Bookman Old Style" w:hAnsi="Bookman Old Style"/>
          <w:color w:val="000000" w:themeColor="text1"/>
          <w:sz w:val="24"/>
          <w:szCs w:val="24"/>
        </w:rPr>
        <w:t xml:space="preserve"> concernente l’IMU è quello che deriva dall’operare del Fondo di solidarietà comunale, il cui finanziamento è assicurato da una quota predeterminata del gettito standard IMU (22,43%) di competenza comunale e che, si ricorda, si compone di una parte finalizzata ad assicurare la dotazione “storica” delle risorse di ciascun Comune (a seguito del passaggio dall’ICI all’IMU) e di una componente perequativa basata essenzialmente sulla differenza tra capacità fiscali e fabbisogni standard. </w:t>
      </w:r>
    </w:p>
    <w:p w14:paraId="714E1986" w14:textId="77777777"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 xml:space="preserve">L’assenza di finanziamento statale a questo scopo, sostituito interamente dal gettito IMU comunale, ha portato alla realizzazione di un </w:t>
      </w:r>
      <w:r w:rsidRPr="005448A3">
        <w:rPr>
          <w:rFonts w:ascii="Bookman Old Style" w:hAnsi="Bookman Old Style"/>
          <w:b/>
          <w:bCs/>
          <w:color w:val="000000" w:themeColor="text1"/>
          <w:sz w:val="24"/>
          <w:szCs w:val="24"/>
        </w:rPr>
        <w:t>meccanismo perequativo di tipo orizzontale</w:t>
      </w:r>
      <w:r w:rsidRPr="005448A3">
        <w:rPr>
          <w:rFonts w:ascii="Bookman Old Style" w:hAnsi="Bookman Old Style"/>
          <w:color w:val="000000" w:themeColor="text1"/>
          <w:sz w:val="24"/>
          <w:szCs w:val="24"/>
        </w:rPr>
        <w:t xml:space="preserve"> che confligge non solo con quanto suggerito dalla letteratura internazionale sul tema (che predilige uno schema perequativo verticale), ma anche con quanto previsto in origine dalla legge 42/2009, che collocava in capo allo Stato il compito di garantire le risorse necessarie alla perequazione comunale. </w:t>
      </w:r>
    </w:p>
    <w:p w14:paraId="25D78A81" w14:textId="124C2A75"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Più nello specifico, tale situazione produce il trasferimento (redistribuzione) intra-comparto di risorse comunali da un ente all’altro (i.e. da comuni “ricchi” a comuni con minor capacità fiscale) che appare di scarsa trasparenza sia per i contribuenti che per le amministrazioni comunali stesse. In altri termini, si assiste ad una situazione per cui una quota rilevante di risorse comunali non risulta finalizzata alla massimizzazione di efficienza ed effic</w:t>
      </w:r>
      <w:bookmarkStart w:id="9" w:name="_GoBack"/>
      <w:bookmarkEnd w:id="9"/>
      <w:r w:rsidRPr="005448A3">
        <w:rPr>
          <w:rFonts w:ascii="Bookman Old Style" w:hAnsi="Bookman Old Style"/>
          <w:color w:val="000000" w:themeColor="text1"/>
          <w:sz w:val="24"/>
          <w:szCs w:val="24"/>
        </w:rPr>
        <w:t xml:space="preserve">acia dell’azione comunale, ma assolve a compiti perequativi la cui funzione, in termini di definizione e riparto del Fondo, è affidata allo Stato mentre le risorse per provvedervi sono comunali. Dal 2015, </w:t>
      </w:r>
      <w:r w:rsidRPr="005448A3">
        <w:rPr>
          <w:rFonts w:ascii="Bookman Old Style" w:hAnsi="Bookman Old Style"/>
          <w:color w:val="000000" w:themeColor="text1"/>
          <w:sz w:val="24"/>
          <w:szCs w:val="24"/>
        </w:rPr>
        <w:lastRenderedPageBreak/>
        <w:t>inoltre, lo Stato non solo non concorre al finanziamento dell’FSC ma addirittura “attinge” da questo in quanto i Comuni versano alle entrate dello Stato l’eccedenza di dotazione del Fondo pari a circa 350 milioni di euro.</w:t>
      </w:r>
    </w:p>
    <w:p w14:paraId="075A1721" w14:textId="4BF26DAB" w:rsidR="006D36DE" w:rsidRPr="005448A3" w:rsidRDefault="006D36DE" w:rsidP="005448A3">
      <w:pPr>
        <w:spacing w:after="120" w:line="240" w:lineRule="auto"/>
        <w:jc w:val="both"/>
        <w:rPr>
          <w:rFonts w:ascii="Bookman Old Style" w:hAnsi="Bookman Old Style"/>
          <w:color w:val="000000" w:themeColor="text1"/>
          <w:sz w:val="24"/>
          <w:szCs w:val="24"/>
        </w:rPr>
      </w:pPr>
      <w:r w:rsidRPr="005448A3">
        <w:rPr>
          <w:rFonts w:ascii="Bookman Old Style" w:hAnsi="Bookman Old Style"/>
          <w:color w:val="000000" w:themeColor="text1"/>
          <w:sz w:val="24"/>
          <w:szCs w:val="24"/>
        </w:rPr>
        <w:t xml:space="preserve">Infine, per quanto attiene ai </w:t>
      </w:r>
      <w:r w:rsidRPr="005448A3">
        <w:rPr>
          <w:rFonts w:ascii="Bookman Old Style" w:hAnsi="Bookman Old Style"/>
          <w:b/>
          <w:color w:val="000000" w:themeColor="text1"/>
          <w:sz w:val="24"/>
          <w:szCs w:val="24"/>
        </w:rPr>
        <w:t xml:space="preserve">risvolti finanziari </w:t>
      </w:r>
      <w:r w:rsidRPr="005448A3">
        <w:rPr>
          <w:rFonts w:ascii="Bookman Old Style" w:hAnsi="Bookman Old Style"/>
          <w:color w:val="000000" w:themeColor="text1"/>
          <w:sz w:val="24"/>
          <w:szCs w:val="24"/>
        </w:rPr>
        <w:t xml:space="preserve">connessi all’evoluzione della fiscalità locale degli ultimi anni occorre tenere a mente che </w:t>
      </w:r>
      <w:r w:rsidRPr="005448A3">
        <w:rPr>
          <w:rFonts w:ascii="Bookman Old Style" w:hAnsi="Bookman Old Style"/>
          <w:b/>
          <w:color w:val="000000" w:themeColor="text1"/>
          <w:sz w:val="24"/>
          <w:szCs w:val="24"/>
        </w:rPr>
        <w:t>l’aumento delle entrate tributarie registrato nel periodo 2010-2017 (Tabella 1) non si è tradotto in un aumento dell’autonomia fiscale dei Comuni</w:t>
      </w:r>
      <w:r w:rsidRPr="005448A3">
        <w:rPr>
          <w:rFonts w:ascii="Bookman Old Style" w:hAnsi="Bookman Old Style"/>
          <w:color w:val="000000" w:themeColor="text1"/>
          <w:sz w:val="24"/>
          <w:szCs w:val="24"/>
        </w:rPr>
        <w:t xml:space="preserve"> – come talvolta sostenuto da osservatori poco attenti – ma in un</w:t>
      </w:r>
      <w:r w:rsidR="009D2F9A" w:rsidRPr="005448A3">
        <w:rPr>
          <w:rFonts w:ascii="Bookman Old Style" w:hAnsi="Bookman Old Style"/>
          <w:color w:val="000000" w:themeColor="text1"/>
          <w:sz w:val="24"/>
          <w:szCs w:val="24"/>
        </w:rPr>
        <w:t xml:space="preserve"> </w:t>
      </w:r>
      <w:r w:rsidRPr="00366F20">
        <w:rPr>
          <w:rFonts w:ascii="Bookman Old Style" w:hAnsi="Bookman Old Style"/>
          <w:b/>
          <w:bCs/>
          <w:color w:val="000000" w:themeColor="text1"/>
          <w:sz w:val="24"/>
          <w:szCs w:val="24"/>
        </w:rPr>
        <w:t>effetto sostitutivo tra risorse proprie e trasferimenti</w:t>
      </w:r>
      <w:r w:rsidRPr="005448A3">
        <w:rPr>
          <w:rFonts w:ascii="Bookman Old Style" w:hAnsi="Bookman Old Style"/>
          <w:color w:val="000000" w:themeColor="text1"/>
          <w:sz w:val="24"/>
          <w:szCs w:val="24"/>
        </w:rPr>
        <w:t xml:space="preserve"> determinato da un lato, dai tagli compensativi effettuati nel passaggio ICI-IMU, dall’altro, allo sforzo fiscale dispiegato dai Comuni nel tentativo di preservare la propria capacità </w:t>
      </w:r>
      <w:r w:rsidR="00366F20">
        <w:rPr>
          <w:rFonts w:ascii="Bookman Old Style" w:hAnsi="Bookman Old Style"/>
          <w:color w:val="000000" w:themeColor="text1"/>
          <w:sz w:val="24"/>
          <w:szCs w:val="24"/>
        </w:rPr>
        <w:t>di spesa</w:t>
      </w:r>
      <w:r w:rsidRPr="005448A3">
        <w:rPr>
          <w:rFonts w:ascii="Bookman Old Style" w:hAnsi="Bookman Old Style"/>
          <w:color w:val="000000" w:themeColor="text1"/>
          <w:sz w:val="24"/>
          <w:szCs w:val="24"/>
        </w:rPr>
        <w:t xml:space="preserve">, erosa dalla lunga stagione dei tagli che nel periodo 2011-2015 ha </w:t>
      </w:r>
      <w:r w:rsidR="00C634F0" w:rsidRPr="005448A3">
        <w:rPr>
          <w:rFonts w:ascii="Bookman Old Style" w:hAnsi="Bookman Old Style"/>
          <w:color w:val="000000" w:themeColor="text1"/>
          <w:sz w:val="24"/>
          <w:szCs w:val="24"/>
        </w:rPr>
        <w:t xml:space="preserve">comportato </w:t>
      </w:r>
      <w:r w:rsidRPr="005448A3">
        <w:rPr>
          <w:rFonts w:ascii="Bookman Old Style" w:hAnsi="Bookman Old Style"/>
          <w:color w:val="000000" w:themeColor="text1"/>
          <w:sz w:val="24"/>
          <w:szCs w:val="24"/>
        </w:rPr>
        <w:t>una contrazione di risorse nette per il comparto (cioè non compensate dallo Stato) di circa 8,6 miliardi di euro.</w:t>
      </w:r>
    </w:p>
    <w:p w14:paraId="17E3E29D" w14:textId="77777777" w:rsidR="005448A3" w:rsidRDefault="005448A3" w:rsidP="003840AA">
      <w:pPr>
        <w:pStyle w:val="Didascalia"/>
        <w:keepNext/>
        <w:jc w:val="both"/>
        <w:rPr>
          <w:b/>
          <w:bCs/>
        </w:rPr>
      </w:pPr>
      <w:bookmarkStart w:id="10" w:name="_Hlk24480965"/>
    </w:p>
    <w:p w14:paraId="48710E94" w14:textId="23E16661" w:rsidR="006D36DE" w:rsidRPr="005448A3" w:rsidRDefault="006D36DE" w:rsidP="00161DF2">
      <w:pPr>
        <w:pStyle w:val="Didascalia"/>
        <w:keepNext/>
        <w:ind w:left="851"/>
        <w:rPr>
          <w:b/>
          <w:bCs/>
          <w:sz w:val="20"/>
          <w:szCs w:val="20"/>
        </w:rPr>
      </w:pPr>
      <w:r w:rsidRPr="005448A3">
        <w:rPr>
          <w:b/>
          <w:bCs/>
          <w:sz w:val="20"/>
          <w:szCs w:val="20"/>
        </w:rPr>
        <w:t>Tabella 1</w:t>
      </w:r>
      <w:r w:rsidR="00DC141B">
        <w:rPr>
          <w:b/>
          <w:bCs/>
          <w:sz w:val="20"/>
          <w:szCs w:val="20"/>
        </w:rPr>
        <w:t xml:space="preserve">- </w:t>
      </w:r>
      <w:r w:rsidRPr="005448A3">
        <w:rPr>
          <w:b/>
          <w:bCs/>
          <w:sz w:val="20"/>
          <w:szCs w:val="20"/>
        </w:rPr>
        <w:t xml:space="preserve">Confronto delle principali entrate </w:t>
      </w:r>
      <w:r w:rsidR="00DC141B">
        <w:rPr>
          <w:b/>
          <w:bCs/>
          <w:sz w:val="20"/>
          <w:szCs w:val="20"/>
        </w:rPr>
        <w:t xml:space="preserve">e spese </w:t>
      </w:r>
      <w:r w:rsidRPr="005448A3">
        <w:rPr>
          <w:b/>
          <w:bCs/>
          <w:sz w:val="20"/>
          <w:szCs w:val="20"/>
        </w:rPr>
        <w:t>comunali</w:t>
      </w:r>
      <w:r w:rsidR="00DC141B">
        <w:rPr>
          <w:b/>
          <w:bCs/>
          <w:sz w:val="20"/>
          <w:szCs w:val="20"/>
        </w:rPr>
        <w:t xml:space="preserve"> tra il </w:t>
      </w:r>
      <w:r w:rsidR="00DC141B" w:rsidRPr="005448A3">
        <w:rPr>
          <w:b/>
          <w:bCs/>
          <w:sz w:val="20"/>
          <w:szCs w:val="20"/>
        </w:rPr>
        <w:t xml:space="preserve">2010 </w:t>
      </w:r>
      <w:r w:rsidR="00DC141B">
        <w:rPr>
          <w:b/>
          <w:bCs/>
          <w:sz w:val="20"/>
          <w:szCs w:val="20"/>
        </w:rPr>
        <w:t xml:space="preserve">e il </w:t>
      </w:r>
      <w:r w:rsidR="00DC141B" w:rsidRPr="005448A3">
        <w:rPr>
          <w:b/>
          <w:bCs/>
          <w:sz w:val="20"/>
          <w:szCs w:val="20"/>
        </w:rPr>
        <w:t>201</w:t>
      </w:r>
      <w:r w:rsidR="00DC141B">
        <w:rPr>
          <w:b/>
          <w:bCs/>
          <w:sz w:val="20"/>
          <w:szCs w:val="20"/>
        </w:rPr>
        <w:t>8</w:t>
      </w:r>
      <w:r w:rsidR="00C36B56">
        <w:rPr>
          <w:b/>
          <w:bCs/>
          <w:sz w:val="20"/>
          <w:szCs w:val="20"/>
        </w:rPr>
        <w:t xml:space="preserve"> - Competenza</w:t>
      </w:r>
      <w:r w:rsidR="00DC141B">
        <w:rPr>
          <w:b/>
          <w:bCs/>
          <w:sz w:val="20"/>
          <w:szCs w:val="20"/>
        </w:rPr>
        <w:br/>
      </w:r>
      <w:r w:rsidRPr="00DC141B">
        <w:rPr>
          <w:b/>
          <w:bCs/>
        </w:rPr>
        <w:t>Valori in milioni di euro</w:t>
      </w:r>
      <w:r w:rsidR="00DC141B" w:rsidRPr="00DC141B">
        <w:rPr>
          <w:b/>
          <w:bCs/>
        </w:rPr>
        <w:t xml:space="preserve"> e percentuali (composizione sulla parte corrente e variazione nel periodo)</w:t>
      </w:r>
    </w:p>
    <w:p w14:paraId="7FF81D40" w14:textId="5AC789B7" w:rsidR="00DC141B" w:rsidRDefault="00161DF2" w:rsidP="00161DF2">
      <w:pPr>
        <w:pStyle w:val="Didascalia"/>
        <w:keepNext/>
        <w:spacing w:after="0"/>
        <w:jc w:val="center"/>
        <w:rPr>
          <w:noProof/>
        </w:rPr>
      </w:pPr>
      <w:r w:rsidRPr="00161DF2">
        <w:rPr>
          <w:noProof/>
        </w:rPr>
        <w:drawing>
          <wp:inline distT="0" distB="0" distL="0" distR="0" wp14:anchorId="06203975" wp14:editId="63349F53">
            <wp:extent cx="5108082" cy="356235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09309" cy="3563206"/>
                    </a:xfrm>
                    <a:prstGeom prst="rect">
                      <a:avLst/>
                    </a:prstGeom>
                    <a:noFill/>
                    <a:ln>
                      <a:noFill/>
                    </a:ln>
                  </pic:spPr>
                </pic:pic>
              </a:graphicData>
            </a:graphic>
          </wp:inline>
        </w:drawing>
      </w:r>
    </w:p>
    <w:p w14:paraId="344924F3" w14:textId="5392ACB5" w:rsidR="006D36DE" w:rsidRPr="00DC141B" w:rsidRDefault="006D36DE" w:rsidP="00161DF2">
      <w:pPr>
        <w:pStyle w:val="Didascalia"/>
        <w:keepNext/>
        <w:ind w:left="851"/>
        <w:jc w:val="both"/>
        <w:rPr>
          <w:sz w:val="16"/>
          <w:szCs w:val="16"/>
        </w:rPr>
      </w:pPr>
      <w:r w:rsidRPr="00DC141B">
        <w:rPr>
          <w:b/>
          <w:bCs/>
          <w:sz w:val="16"/>
          <w:szCs w:val="16"/>
        </w:rPr>
        <w:t>Fonte: elaborazioni IFEL su dati Ministero dell’interno</w:t>
      </w:r>
      <w:r w:rsidR="00DC141B" w:rsidRPr="00DC141B">
        <w:rPr>
          <w:b/>
          <w:bCs/>
          <w:sz w:val="16"/>
          <w:szCs w:val="16"/>
        </w:rPr>
        <w:t xml:space="preserve"> e BDAP</w:t>
      </w:r>
    </w:p>
    <w:p w14:paraId="2850DAAB" w14:textId="53B4F361" w:rsidR="00C36B56" w:rsidRDefault="00C36B56" w:rsidP="00DC141B">
      <w:pPr>
        <w:spacing w:after="120" w:line="240" w:lineRule="auto"/>
        <w:jc w:val="both"/>
        <w:rPr>
          <w:rFonts w:ascii="Bookman Old Style" w:hAnsi="Bookman Old Style"/>
          <w:color w:val="000000" w:themeColor="text1"/>
          <w:sz w:val="24"/>
          <w:szCs w:val="24"/>
        </w:rPr>
      </w:pPr>
      <w:r w:rsidRPr="00194984">
        <w:rPr>
          <w:rFonts w:ascii="Bookman Old Style" w:hAnsi="Bookman Old Style"/>
          <w:b/>
          <w:bCs/>
          <w:color w:val="000000" w:themeColor="text1"/>
          <w:sz w:val="24"/>
          <w:szCs w:val="24"/>
        </w:rPr>
        <w:t>La crescita delle entrate</w:t>
      </w:r>
      <w:r w:rsidR="00194984" w:rsidRPr="00194984">
        <w:rPr>
          <w:rFonts w:ascii="Bookman Old Style" w:hAnsi="Bookman Old Style"/>
          <w:b/>
          <w:bCs/>
          <w:color w:val="000000" w:themeColor="text1"/>
          <w:sz w:val="24"/>
          <w:szCs w:val="24"/>
        </w:rPr>
        <w:t xml:space="preserve"> correnti</w:t>
      </w:r>
      <w:r w:rsidR="00194984">
        <w:rPr>
          <w:rFonts w:ascii="Bookman Old Style" w:hAnsi="Bookman Old Style"/>
          <w:color w:val="000000" w:themeColor="text1"/>
          <w:sz w:val="24"/>
          <w:szCs w:val="24"/>
        </w:rPr>
        <w:t xml:space="preserve"> accertate</w:t>
      </w:r>
      <w:r>
        <w:rPr>
          <w:rFonts w:ascii="Bookman Old Style" w:hAnsi="Bookman Old Style"/>
          <w:color w:val="000000" w:themeColor="text1"/>
          <w:sz w:val="24"/>
          <w:szCs w:val="24"/>
        </w:rPr>
        <w:t xml:space="preserve"> tra il 2010 e il </w:t>
      </w:r>
      <w:r w:rsidRPr="00194984">
        <w:rPr>
          <w:rFonts w:ascii="Bookman Old Style" w:hAnsi="Bookman Old Style"/>
          <w:b/>
          <w:bCs/>
          <w:color w:val="000000" w:themeColor="text1"/>
          <w:sz w:val="24"/>
          <w:szCs w:val="24"/>
        </w:rPr>
        <w:t>2018 è in</w:t>
      </w:r>
      <w:r w:rsidR="00820A79">
        <w:rPr>
          <w:rFonts w:ascii="Bookman Old Style" w:hAnsi="Bookman Old Style"/>
          <w:b/>
          <w:bCs/>
          <w:color w:val="000000" w:themeColor="text1"/>
          <w:sz w:val="24"/>
          <w:szCs w:val="24"/>
        </w:rPr>
        <w:t xml:space="preserve"> realtà</w:t>
      </w:r>
      <w:r w:rsidRPr="00194984">
        <w:rPr>
          <w:rFonts w:ascii="Bookman Old Style" w:hAnsi="Bookman Old Style"/>
          <w:b/>
          <w:bCs/>
          <w:color w:val="000000" w:themeColor="text1"/>
          <w:sz w:val="24"/>
          <w:szCs w:val="24"/>
        </w:rPr>
        <w:t xml:space="preserve"> parte apparente</w:t>
      </w:r>
      <w:r>
        <w:rPr>
          <w:rFonts w:ascii="Bookman Old Style" w:hAnsi="Bookman Old Style"/>
          <w:color w:val="000000" w:themeColor="text1"/>
          <w:sz w:val="24"/>
          <w:szCs w:val="24"/>
        </w:rPr>
        <w:t xml:space="preserve">, per via della crescita dell’onere per servizio rifiuti (nel 2010 era fuori dal bilancio comunale la quota dovuta alla </w:t>
      </w:r>
      <w:r w:rsidR="00194984">
        <w:rPr>
          <w:rFonts w:ascii="Bookman Old Style" w:hAnsi="Bookman Old Style"/>
          <w:color w:val="000000" w:themeColor="text1"/>
          <w:sz w:val="24"/>
          <w:szCs w:val="24"/>
        </w:rPr>
        <w:t xml:space="preserve">tariffa TIA per 1.200 Comuni) e, soprattutto, per l’effetto degli accantonamenti obbligatori imposti dalla riforma contabile del 2015, pari a circa 4,8 mld. di euro. </w:t>
      </w:r>
      <w:r w:rsidR="00194984" w:rsidRPr="00194984">
        <w:rPr>
          <w:rFonts w:ascii="Bookman Old Style" w:hAnsi="Bookman Old Style"/>
          <w:b/>
          <w:bCs/>
          <w:color w:val="000000" w:themeColor="text1"/>
          <w:sz w:val="24"/>
          <w:szCs w:val="24"/>
        </w:rPr>
        <w:t>Di fatto la capacità di spesa corrente dei Comuni si è ridotta di circa due miliardi</w:t>
      </w:r>
      <w:r w:rsidR="00194984">
        <w:rPr>
          <w:rFonts w:ascii="Bookman Old Style" w:hAnsi="Bookman Old Style"/>
          <w:color w:val="000000" w:themeColor="text1"/>
          <w:sz w:val="24"/>
          <w:szCs w:val="24"/>
        </w:rPr>
        <w:t>.</w:t>
      </w:r>
    </w:p>
    <w:p w14:paraId="36243C28" w14:textId="1981EC3F" w:rsidR="006D36DE" w:rsidRPr="00DC141B" w:rsidRDefault="00161DF2" w:rsidP="00DC141B">
      <w:pPr>
        <w:spacing w:after="120" w:line="240" w:lineRule="auto"/>
        <w:jc w:val="both"/>
        <w:rPr>
          <w:rFonts w:ascii="Bookman Old Style" w:hAnsi="Bookman Old Style"/>
          <w:color w:val="000000" w:themeColor="text1"/>
          <w:sz w:val="24"/>
          <w:szCs w:val="24"/>
        </w:rPr>
      </w:pPr>
      <w:r>
        <w:rPr>
          <w:rFonts w:ascii="Bookman Old Style" w:hAnsi="Bookman Old Style"/>
          <w:color w:val="000000" w:themeColor="text1"/>
          <w:sz w:val="24"/>
          <w:szCs w:val="24"/>
        </w:rPr>
        <w:t>Nel complesso, quindi</w:t>
      </w:r>
      <w:r w:rsidR="006D36DE" w:rsidRPr="00DC141B">
        <w:rPr>
          <w:rFonts w:ascii="Bookman Old Style" w:hAnsi="Bookman Old Style"/>
          <w:color w:val="000000" w:themeColor="text1"/>
          <w:sz w:val="24"/>
          <w:szCs w:val="24"/>
        </w:rPr>
        <w:t xml:space="preserve">, </w:t>
      </w:r>
      <w:r w:rsidR="006D36DE" w:rsidRPr="00DC141B">
        <w:rPr>
          <w:rFonts w:ascii="Bookman Old Style" w:hAnsi="Bookman Old Style"/>
          <w:b/>
          <w:bCs/>
          <w:color w:val="000000" w:themeColor="text1"/>
          <w:sz w:val="24"/>
          <w:szCs w:val="24"/>
        </w:rPr>
        <w:t>l’incremento della pressione fiscale locale</w:t>
      </w:r>
      <w:r w:rsidR="006D36DE" w:rsidRPr="00DC141B">
        <w:rPr>
          <w:rFonts w:ascii="Bookman Old Style" w:hAnsi="Bookman Old Style"/>
          <w:color w:val="000000" w:themeColor="text1"/>
          <w:sz w:val="24"/>
          <w:szCs w:val="24"/>
        </w:rPr>
        <w:t xml:space="preserve"> – particolarmente evidente nel caso dei tributi a carattere generale e ad utilizzo non condizionato come IMU e TASI – </w:t>
      </w:r>
      <w:r w:rsidR="006D36DE" w:rsidRPr="00DC141B">
        <w:rPr>
          <w:rFonts w:ascii="Bookman Old Style" w:hAnsi="Bookman Old Style"/>
          <w:b/>
          <w:bCs/>
          <w:color w:val="000000" w:themeColor="text1"/>
          <w:sz w:val="24"/>
          <w:szCs w:val="24"/>
        </w:rPr>
        <w:t xml:space="preserve">non è stato espressione di un’autonoma scelta di politica fiscale dei Comuni ma è stata una reazione indotta, </w:t>
      </w:r>
      <w:r w:rsidR="00DC141B" w:rsidRPr="00DC141B">
        <w:rPr>
          <w:rFonts w:ascii="Bookman Old Style" w:hAnsi="Bookman Old Style"/>
          <w:b/>
          <w:bCs/>
          <w:color w:val="000000" w:themeColor="text1"/>
          <w:sz w:val="24"/>
          <w:szCs w:val="24"/>
        </w:rPr>
        <w:t xml:space="preserve">se non </w:t>
      </w:r>
      <w:r w:rsidR="006D36DE" w:rsidRPr="00DC141B">
        <w:rPr>
          <w:rFonts w:ascii="Bookman Old Style" w:hAnsi="Bookman Old Style"/>
          <w:b/>
          <w:bCs/>
          <w:color w:val="000000" w:themeColor="text1"/>
          <w:sz w:val="24"/>
          <w:szCs w:val="24"/>
        </w:rPr>
        <w:lastRenderedPageBreak/>
        <w:t>“imposta”, da scelte finanziarie assunte dallo Stato</w:t>
      </w:r>
      <w:r w:rsidR="006D36DE" w:rsidRPr="00DC141B">
        <w:rPr>
          <w:rFonts w:ascii="Bookman Old Style" w:hAnsi="Bookman Old Style"/>
          <w:color w:val="000000" w:themeColor="text1"/>
          <w:sz w:val="24"/>
          <w:szCs w:val="24"/>
        </w:rPr>
        <w:t xml:space="preserve"> ed orientate al raggiungimento degli obiettivi di risanamento della finanza pubblica nel suo complesso.</w:t>
      </w:r>
    </w:p>
    <w:bookmarkEnd w:id="10"/>
    <w:p w14:paraId="41EB3765" w14:textId="77777777" w:rsidR="006D36DE" w:rsidRPr="00DC141B" w:rsidRDefault="006D36DE" w:rsidP="00DC141B">
      <w:pPr>
        <w:spacing w:after="120" w:line="240" w:lineRule="auto"/>
        <w:jc w:val="both"/>
        <w:rPr>
          <w:rFonts w:ascii="Bookman Old Style" w:hAnsi="Bookman Old Style"/>
          <w:color w:val="000000" w:themeColor="text1"/>
          <w:sz w:val="24"/>
          <w:szCs w:val="24"/>
        </w:rPr>
      </w:pPr>
      <w:r w:rsidRPr="00DC141B">
        <w:rPr>
          <w:rFonts w:ascii="Bookman Old Style" w:hAnsi="Bookman Old Style"/>
          <w:color w:val="000000" w:themeColor="text1"/>
          <w:sz w:val="24"/>
          <w:szCs w:val="24"/>
        </w:rPr>
        <w:t>Quanto osservato, trova del resto conferma anche nel parere di istituzioni qualificate come la Banca d’Italia e la Corte dei Conti, la quale nella relazione sul coordinamento della finanza pubblica del 2015 ha affermato che “</w:t>
      </w:r>
      <w:r w:rsidRPr="00DC141B">
        <w:rPr>
          <w:rFonts w:ascii="Bookman Old Style" w:hAnsi="Bookman Old Style"/>
          <w:i/>
          <w:color w:val="000000" w:themeColor="text1"/>
          <w:sz w:val="24"/>
          <w:szCs w:val="24"/>
        </w:rPr>
        <w:t>il complesso percorso di riequilibrio dei conti pubblici operato dallo Stato ha impegnato costantemente il comparto degli enti locali in una misura che eccede i limiti di un ragionevole criterio di proporzionalità tra i rapporti di composizione della spesa della Pubblica amministrazione. Tale percorso di risanamento si è espresso sul piano dei vincoli di spesa e dei tagli ai trasferimenti, con riflesso inasprimento della leva fiscale rimessa all’autonoma disponibilità dei livelli di governo locale</w:t>
      </w:r>
      <w:r w:rsidRPr="00DC141B">
        <w:rPr>
          <w:rFonts w:ascii="Bookman Old Style" w:hAnsi="Bookman Old Style"/>
          <w:color w:val="000000" w:themeColor="text1"/>
          <w:sz w:val="24"/>
          <w:szCs w:val="24"/>
        </w:rPr>
        <w:t>”. </w:t>
      </w:r>
    </w:p>
    <w:p w14:paraId="2E397DAA" w14:textId="5A5DB2C7" w:rsidR="00820A79" w:rsidRDefault="00194984" w:rsidP="00820A79">
      <w:pPr>
        <w:spacing w:after="120" w:line="240" w:lineRule="auto"/>
        <w:jc w:val="both"/>
        <w:rPr>
          <w:rFonts w:ascii="Bookman Old Style" w:hAnsi="Bookman Old Style"/>
          <w:color w:val="000000" w:themeColor="text1"/>
          <w:sz w:val="24"/>
          <w:szCs w:val="24"/>
        </w:rPr>
      </w:pPr>
      <w:r>
        <w:rPr>
          <w:rFonts w:ascii="Bookman Old Style" w:hAnsi="Bookman Old Style"/>
          <w:color w:val="000000" w:themeColor="text1"/>
          <w:sz w:val="24"/>
          <w:szCs w:val="24"/>
        </w:rPr>
        <w:t xml:space="preserve">In conclusione – e tralasciando la caduta delle entrate accertate di parte capitale, dovuta alla drastica riduzione dei contributi statali e agli effetti della crisi, ora in sensibile recupero – </w:t>
      </w:r>
      <w:r w:rsidR="006D36DE" w:rsidRPr="00DC141B">
        <w:rPr>
          <w:rFonts w:ascii="Bookman Old Style" w:hAnsi="Bookman Old Style"/>
          <w:color w:val="000000" w:themeColor="text1"/>
          <w:sz w:val="24"/>
          <w:szCs w:val="24"/>
        </w:rPr>
        <w:t xml:space="preserve">merita segnalare che l’inasprimento </w:t>
      </w:r>
      <w:r w:rsidR="006D36DE" w:rsidRPr="00DC141B">
        <w:rPr>
          <w:rFonts w:ascii="Bookman Old Style" w:hAnsi="Bookman Old Style"/>
          <w:b/>
          <w:bCs/>
          <w:color w:val="000000" w:themeColor="text1"/>
          <w:sz w:val="24"/>
          <w:szCs w:val="24"/>
        </w:rPr>
        <w:t>della pressione fiscale è risultato insufficiente a garantire al comparto comunale il mantenimento delle risorse ante crisi</w:t>
      </w:r>
      <w:r>
        <w:rPr>
          <w:rFonts w:ascii="Bookman Old Style" w:hAnsi="Bookman Old Style"/>
          <w:color w:val="000000" w:themeColor="text1"/>
          <w:sz w:val="24"/>
          <w:szCs w:val="24"/>
        </w:rPr>
        <w:t xml:space="preserve">. </w:t>
      </w:r>
      <w:r w:rsidR="006D36DE" w:rsidRPr="00DC141B">
        <w:rPr>
          <w:rFonts w:ascii="Bookman Old Style" w:hAnsi="Bookman Old Style"/>
          <w:color w:val="000000" w:themeColor="text1"/>
          <w:sz w:val="24"/>
          <w:szCs w:val="24"/>
        </w:rPr>
        <w:t>Su base pro-capite (figura 2), quanto commentato si traduce per il medesimo periodo di osservazione (2010-201</w:t>
      </w:r>
      <w:r w:rsidR="00DC141B">
        <w:rPr>
          <w:rFonts w:ascii="Bookman Old Style" w:hAnsi="Bookman Old Style"/>
          <w:color w:val="000000" w:themeColor="text1"/>
          <w:sz w:val="24"/>
          <w:szCs w:val="24"/>
        </w:rPr>
        <w:t>8</w:t>
      </w:r>
      <w:r w:rsidR="006D36DE" w:rsidRPr="00DC141B">
        <w:rPr>
          <w:rFonts w:ascii="Bookman Old Style" w:hAnsi="Bookman Old Style"/>
          <w:color w:val="000000" w:themeColor="text1"/>
          <w:sz w:val="24"/>
          <w:szCs w:val="24"/>
        </w:rPr>
        <w:t xml:space="preserve">) in una </w:t>
      </w:r>
      <w:r w:rsidR="006D36DE" w:rsidRPr="00DC141B">
        <w:rPr>
          <w:rFonts w:ascii="Bookman Old Style" w:hAnsi="Bookman Old Style"/>
          <w:b/>
          <w:bCs/>
          <w:color w:val="000000" w:themeColor="text1"/>
          <w:sz w:val="24"/>
          <w:szCs w:val="24"/>
        </w:rPr>
        <w:t xml:space="preserve">riduzione di </w:t>
      </w:r>
      <w:r w:rsidR="009D2F9A" w:rsidRPr="00DC141B">
        <w:rPr>
          <w:rFonts w:ascii="Bookman Old Style" w:hAnsi="Bookman Old Style"/>
          <w:b/>
          <w:bCs/>
          <w:color w:val="000000" w:themeColor="text1"/>
          <w:sz w:val="24"/>
          <w:szCs w:val="24"/>
        </w:rPr>
        <w:t>risorse disponibili</w:t>
      </w:r>
      <w:r w:rsidR="009D2F9A" w:rsidRPr="00DC141B">
        <w:rPr>
          <w:rFonts w:ascii="Bookman Old Style" w:hAnsi="Bookman Old Style"/>
          <w:color w:val="000000" w:themeColor="text1"/>
          <w:sz w:val="24"/>
          <w:szCs w:val="24"/>
        </w:rPr>
        <w:t xml:space="preserve"> pari a </w:t>
      </w:r>
      <w:r w:rsidR="00161DF2">
        <w:rPr>
          <w:rFonts w:ascii="Bookman Old Style" w:hAnsi="Bookman Old Style"/>
          <w:color w:val="000000" w:themeColor="text1"/>
          <w:sz w:val="24"/>
          <w:szCs w:val="24"/>
        </w:rPr>
        <w:t>-</w:t>
      </w:r>
      <w:r w:rsidR="006D36DE" w:rsidRPr="00DC141B">
        <w:rPr>
          <w:rFonts w:ascii="Bookman Old Style" w:hAnsi="Bookman Old Style"/>
          <w:color w:val="000000" w:themeColor="text1"/>
          <w:sz w:val="24"/>
          <w:szCs w:val="24"/>
        </w:rPr>
        <w:t>1</w:t>
      </w:r>
      <w:r w:rsidR="00161DF2">
        <w:rPr>
          <w:rFonts w:ascii="Bookman Old Style" w:hAnsi="Bookman Old Style"/>
          <w:color w:val="000000" w:themeColor="text1"/>
          <w:sz w:val="24"/>
          <w:szCs w:val="24"/>
        </w:rPr>
        <w:t>2</w:t>
      </w:r>
      <w:r w:rsidR="006D36DE" w:rsidRPr="00DC141B">
        <w:rPr>
          <w:rFonts w:ascii="Bookman Old Style" w:hAnsi="Bookman Old Style"/>
          <w:color w:val="000000" w:themeColor="text1"/>
          <w:sz w:val="24"/>
          <w:szCs w:val="24"/>
        </w:rPr>
        <w:t>0 euro</w:t>
      </w:r>
      <w:r w:rsidR="009D2F9A" w:rsidRPr="00DC141B">
        <w:rPr>
          <w:rFonts w:ascii="Bookman Old Style" w:hAnsi="Bookman Old Style"/>
          <w:color w:val="000000" w:themeColor="text1"/>
          <w:sz w:val="24"/>
          <w:szCs w:val="24"/>
        </w:rPr>
        <w:t xml:space="preserve"> pro capite</w:t>
      </w:r>
      <w:r w:rsidR="006D36DE" w:rsidRPr="00DC141B">
        <w:rPr>
          <w:rFonts w:ascii="Bookman Old Style" w:hAnsi="Bookman Old Style"/>
          <w:color w:val="000000" w:themeColor="text1"/>
          <w:sz w:val="24"/>
          <w:szCs w:val="24"/>
        </w:rPr>
        <w:t xml:space="preserve">, </w:t>
      </w:r>
      <w:r w:rsidR="006D36DE" w:rsidRPr="00DC141B">
        <w:rPr>
          <w:rFonts w:ascii="Bookman Old Style" w:hAnsi="Bookman Old Style"/>
          <w:b/>
          <w:bCs/>
          <w:color w:val="000000" w:themeColor="text1"/>
          <w:sz w:val="24"/>
          <w:szCs w:val="24"/>
        </w:rPr>
        <w:t xml:space="preserve">a fronte di un </w:t>
      </w:r>
      <w:r w:rsidR="00DC141B">
        <w:rPr>
          <w:rFonts w:ascii="Bookman Old Style" w:hAnsi="Bookman Old Style"/>
          <w:b/>
          <w:bCs/>
          <w:color w:val="000000" w:themeColor="text1"/>
          <w:sz w:val="24"/>
          <w:szCs w:val="24"/>
        </w:rPr>
        <w:t xml:space="preserve">più marcato </w:t>
      </w:r>
      <w:r w:rsidR="006D36DE" w:rsidRPr="00DC141B">
        <w:rPr>
          <w:rFonts w:ascii="Bookman Old Style" w:hAnsi="Bookman Old Style"/>
          <w:b/>
          <w:bCs/>
          <w:color w:val="000000" w:themeColor="text1"/>
          <w:sz w:val="24"/>
          <w:szCs w:val="24"/>
        </w:rPr>
        <w:t xml:space="preserve">incremento </w:t>
      </w:r>
      <w:r w:rsidR="009D2F9A" w:rsidRPr="00DC141B">
        <w:rPr>
          <w:rFonts w:ascii="Bookman Old Style" w:hAnsi="Bookman Old Style"/>
          <w:b/>
          <w:bCs/>
          <w:color w:val="000000" w:themeColor="text1"/>
          <w:sz w:val="24"/>
          <w:szCs w:val="24"/>
        </w:rPr>
        <w:t>del prelievo fiscale</w:t>
      </w:r>
      <w:r w:rsidR="009D2F9A" w:rsidRPr="00DC141B">
        <w:rPr>
          <w:rFonts w:ascii="Bookman Old Style" w:hAnsi="Bookman Old Style"/>
          <w:color w:val="000000" w:themeColor="text1"/>
          <w:sz w:val="24"/>
          <w:szCs w:val="24"/>
        </w:rPr>
        <w:t xml:space="preserve"> pari a </w:t>
      </w:r>
      <w:r w:rsidR="00161DF2">
        <w:rPr>
          <w:rFonts w:ascii="Bookman Old Style" w:hAnsi="Bookman Old Style"/>
          <w:color w:val="000000" w:themeColor="text1"/>
          <w:sz w:val="24"/>
          <w:szCs w:val="24"/>
        </w:rPr>
        <w:t>+</w:t>
      </w:r>
      <w:r w:rsidR="006D36DE" w:rsidRPr="00DC141B">
        <w:rPr>
          <w:rFonts w:ascii="Bookman Old Style" w:hAnsi="Bookman Old Style"/>
          <w:color w:val="000000" w:themeColor="text1"/>
          <w:sz w:val="24"/>
          <w:szCs w:val="24"/>
        </w:rPr>
        <w:t>13</w:t>
      </w:r>
      <w:r w:rsidR="00161DF2">
        <w:rPr>
          <w:rFonts w:ascii="Bookman Old Style" w:hAnsi="Bookman Old Style"/>
          <w:color w:val="000000" w:themeColor="text1"/>
          <w:sz w:val="24"/>
          <w:szCs w:val="24"/>
        </w:rPr>
        <w:t>3</w:t>
      </w:r>
      <w:r w:rsidR="006D36DE" w:rsidRPr="00DC141B">
        <w:rPr>
          <w:rFonts w:ascii="Bookman Old Style" w:hAnsi="Bookman Old Style"/>
          <w:color w:val="000000" w:themeColor="text1"/>
          <w:sz w:val="24"/>
          <w:szCs w:val="24"/>
        </w:rPr>
        <w:t xml:space="preserve"> euro pro-capite. </w:t>
      </w:r>
    </w:p>
    <w:p w14:paraId="57A05FDF" w14:textId="77777777" w:rsidR="00820A79" w:rsidRDefault="00820A79" w:rsidP="00820A79">
      <w:pPr>
        <w:spacing w:after="120" w:line="240" w:lineRule="auto"/>
        <w:jc w:val="both"/>
        <w:rPr>
          <w:rFonts w:ascii="Bookman Old Style" w:hAnsi="Bookman Old Style"/>
          <w:color w:val="000000" w:themeColor="text1"/>
          <w:sz w:val="24"/>
          <w:szCs w:val="24"/>
        </w:rPr>
      </w:pPr>
    </w:p>
    <w:p w14:paraId="2F2032E3" w14:textId="379A1C39" w:rsidR="006D36DE" w:rsidRPr="00820A79" w:rsidRDefault="006D36DE" w:rsidP="00820A79">
      <w:pPr>
        <w:spacing w:after="120" w:line="240" w:lineRule="auto"/>
        <w:ind w:left="567" w:right="282"/>
        <w:jc w:val="both"/>
        <w:rPr>
          <w:b/>
          <w:bCs/>
          <w:color w:val="1F3864" w:themeColor="accent5" w:themeShade="80"/>
          <w:sz w:val="20"/>
          <w:szCs w:val="20"/>
        </w:rPr>
      </w:pPr>
      <w:r w:rsidRPr="00820A79">
        <w:rPr>
          <w:b/>
          <w:bCs/>
          <w:color w:val="1F3864" w:themeColor="accent5" w:themeShade="80"/>
          <w:sz w:val="20"/>
          <w:szCs w:val="20"/>
        </w:rPr>
        <w:t xml:space="preserve">Figura </w:t>
      </w:r>
      <w:r w:rsidRPr="00820A79">
        <w:rPr>
          <w:b/>
          <w:bCs/>
          <w:color w:val="1F3864" w:themeColor="accent5" w:themeShade="80"/>
          <w:sz w:val="20"/>
          <w:szCs w:val="20"/>
        </w:rPr>
        <w:fldChar w:fldCharType="begin"/>
      </w:r>
      <w:r w:rsidRPr="00820A79">
        <w:rPr>
          <w:b/>
          <w:bCs/>
          <w:color w:val="1F3864" w:themeColor="accent5" w:themeShade="80"/>
          <w:sz w:val="20"/>
          <w:szCs w:val="20"/>
        </w:rPr>
        <w:instrText xml:space="preserve"> SEQ Figura \* ARABIC </w:instrText>
      </w:r>
      <w:r w:rsidRPr="00820A79">
        <w:rPr>
          <w:b/>
          <w:bCs/>
          <w:color w:val="1F3864" w:themeColor="accent5" w:themeShade="80"/>
          <w:sz w:val="20"/>
          <w:szCs w:val="20"/>
        </w:rPr>
        <w:fldChar w:fldCharType="separate"/>
      </w:r>
      <w:r w:rsidR="00C36B56" w:rsidRPr="00820A79">
        <w:rPr>
          <w:b/>
          <w:bCs/>
          <w:noProof/>
          <w:color w:val="1F3864" w:themeColor="accent5" w:themeShade="80"/>
          <w:sz w:val="20"/>
          <w:szCs w:val="20"/>
        </w:rPr>
        <w:t>2</w:t>
      </w:r>
      <w:r w:rsidRPr="00820A79">
        <w:rPr>
          <w:b/>
          <w:bCs/>
          <w:color w:val="1F3864" w:themeColor="accent5" w:themeShade="80"/>
          <w:sz w:val="20"/>
          <w:szCs w:val="20"/>
        </w:rPr>
        <w:fldChar w:fldCharType="end"/>
      </w:r>
      <w:r w:rsidRPr="00820A79">
        <w:rPr>
          <w:b/>
          <w:bCs/>
          <w:color w:val="1F3864" w:themeColor="accent5" w:themeShade="80"/>
          <w:sz w:val="20"/>
          <w:szCs w:val="20"/>
        </w:rPr>
        <w:t xml:space="preserve"> Variazione delle risorse disponibili e dei prelievi locali nel perimetro delle manovre finanziarie operate sui Comuni</w:t>
      </w:r>
      <w:r w:rsidR="00161DF2" w:rsidRPr="00820A79">
        <w:rPr>
          <w:b/>
          <w:bCs/>
          <w:color w:val="1F3864" w:themeColor="accent5" w:themeShade="80"/>
          <w:sz w:val="20"/>
          <w:szCs w:val="20"/>
        </w:rPr>
        <w:t xml:space="preserve">. </w:t>
      </w:r>
      <w:r w:rsidRPr="00820A79">
        <w:rPr>
          <w:b/>
          <w:bCs/>
          <w:color w:val="1F3864" w:themeColor="accent5" w:themeShade="80"/>
          <w:sz w:val="20"/>
          <w:szCs w:val="20"/>
        </w:rPr>
        <w:t>Anni 2010-201</w:t>
      </w:r>
      <w:r w:rsidR="00161DF2" w:rsidRPr="00820A79">
        <w:rPr>
          <w:b/>
          <w:bCs/>
          <w:color w:val="1F3864" w:themeColor="accent5" w:themeShade="80"/>
          <w:sz w:val="20"/>
          <w:szCs w:val="20"/>
        </w:rPr>
        <w:t>8,</w:t>
      </w:r>
      <w:r w:rsidRPr="00820A79">
        <w:rPr>
          <w:b/>
          <w:bCs/>
          <w:color w:val="1F3864" w:themeColor="accent5" w:themeShade="80"/>
          <w:sz w:val="20"/>
          <w:szCs w:val="20"/>
        </w:rPr>
        <w:t xml:space="preserve"> valori pro capite con indice 2010 = 100</w:t>
      </w:r>
    </w:p>
    <w:p w14:paraId="014CF534" w14:textId="44BC6780" w:rsidR="006D36DE" w:rsidRDefault="000F7F23" w:rsidP="00820A79">
      <w:pPr>
        <w:pStyle w:val="Didascalia"/>
        <w:keepNext/>
        <w:spacing w:after="0"/>
        <w:jc w:val="center"/>
      </w:pPr>
      <w:r>
        <w:rPr>
          <w:noProof/>
        </w:rPr>
        <w:drawing>
          <wp:inline distT="0" distB="0" distL="0" distR="0" wp14:anchorId="6988C51E" wp14:editId="401149CB">
            <wp:extent cx="5688000" cy="3979224"/>
            <wp:effectExtent l="0" t="0" r="8255" b="254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88000" cy="3979224"/>
                    </a:xfrm>
                    <a:prstGeom prst="rect">
                      <a:avLst/>
                    </a:prstGeom>
                    <a:noFill/>
                  </pic:spPr>
                </pic:pic>
              </a:graphicData>
            </a:graphic>
          </wp:inline>
        </w:drawing>
      </w:r>
    </w:p>
    <w:p w14:paraId="00676AFD" w14:textId="77777777" w:rsidR="006D36DE" w:rsidRPr="00161DF2" w:rsidRDefault="006D36DE" w:rsidP="00820A79">
      <w:pPr>
        <w:pStyle w:val="Didascalia"/>
        <w:ind w:left="709"/>
        <w:jc w:val="both"/>
        <w:rPr>
          <w:sz w:val="16"/>
          <w:szCs w:val="16"/>
        </w:rPr>
      </w:pPr>
      <w:r w:rsidRPr="00161DF2">
        <w:rPr>
          <w:b/>
          <w:bCs/>
          <w:sz w:val="16"/>
          <w:szCs w:val="16"/>
        </w:rPr>
        <w:t>Fonte: elaborazioni IFEL su dati Ministero dell’interno e Ministero dell’economia e delle finanze</w:t>
      </w:r>
    </w:p>
    <w:p w14:paraId="32BEBCCC" w14:textId="77777777" w:rsidR="00820A79" w:rsidRDefault="00820A79">
      <w:pPr>
        <w:rPr>
          <w:rFonts w:ascii="Bookman Old Style" w:eastAsiaTheme="majorEastAsia" w:hAnsi="Bookman Old Style" w:cstheme="majorBidi"/>
          <w:b/>
          <w:color w:val="2E74B5" w:themeColor="accent1" w:themeShade="BF"/>
          <w:sz w:val="28"/>
          <w:szCs w:val="28"/>
        </w:rPr>
      </w:pPr>
      <w:bookmarkStart w:id="11" w:name="_Toc11698127"/>
      <w:bookmarkStart w:id="12" w:name="_Toc24483145"/>
      <w:r>
        <w:br w:type="page"/>
      </w:r>
    </w:p>
    <w:p w14:paraId="3D90F8F8" w14:textId="250E5AD1" w:rsidR="00E65025" w:rsidRPr="00AD59DD" w:rsidRDefault="001D0B66" w:rsidP="00AD59DD">
      <w:pPr>
        <w:pStyle w:val="Titolo1"/>
      </w:pPr>
      <w:r w:rsidRPr="00AD59DD">
        <w:lastRenderedPageBreak/>
        <w:t>L</w:t>
      </w:r>
      <w:r w:rsidR="00F52DC2" w:rsidRPr="00AD59DD">
        <w:t>’</w:t>
      </w:r>
      <w:r w:rsidRPr="00AD59DD">
        <w:t>attuazione del regionalismo differenziato</w:t>
      </w:r>
      <w:bookmarkEnd w:id="11"/>
      <w:bookmarkEnd w:id="12"/>
    </w:p>
    <w:p w14:paraId="7DAC1423" w14:textId="6742822F" w:rsidR="00E65025" w:rsidRPr="00E65025" w:rsidRDefault="00E65025" w:rsidP="001D0B66">
      <w:pPr>
        <w:spacing w:after="120" w:line="264" w:lineRule="auto"/>
        <w:jc w:val="both"/>
        <w:rPr>
          <w:rFonts w:ascii="Bookman Old Style" w:hAnsi="Bookman Old Style" w:cstheme="minorHAnsi"/>
          <w:color w:val="000000"/>
          <w:sz w:val="24"/>
          <w:szCs w:val="24"/>
        </w:rPr>
      </w:pPr>
      <w:r w:rsidRPr="00E65025">
        <w:rPr>
          <w:rFonts w:ascii="Bookman Old Style" w:hAnsi="Bookman Old Style" w:cstheme="minorHAnsi"/>
          <w:color w:val="000000"/>
          <w:sz w:val="24"/>
          <w:szCs w:val="24"/>
        </w:rPr>
        <w:t xml:space="preserve">L'articolo 116, comma 3, della Costituzione prevede che la legge ordinaria possa attribuire alle Regioni </w:t>
      </w:r>
      <w:r w:rsidRPr="00E65025">
        <w:rPr>
          <w:rFonts w:ascii="Bookman Old Style" w:hAnsi="Bookman Old Style" w:cstheme="minorHAnsi"/>
          <w:bCs/>
          <w:color w:val="000000"/>
          <w:sz w:val="24"/>
          <w:szCs w:val="24"/>
        </w:rPr>
        <w:t>"ulteriori forme e condizioni particolari di</w:t>
      </w:r>
      <w:r w:rsidRPr="00E65025">
        <w:rPr>
          <w:rFonts w:ascii="Bookman Old Style" w:hAnsi="Bookman Old Style" w:cstheme="minorHAnsi"/>
          <w:color w:val="000000"/>
          <w:sz w:val="24"/>
          <w:szCs w:val="24"/>
        </w:rPr>
        <w:t xml:space="preserve"> </w:t>
      </w:r>
      <w:r w:rsidRPr="00E65025">
        <w:rPr>
          <w:rFonts w:ascii="Bookman Old Style" w:hAnsi="Bookman Old Style" w:cstheme="minorHAnsi"/>
          <w:bCs/>
          <w:color w:val="000000"/>
          <w:sz w:val="24"/>
          <w:szCs w:val="24"/>
        </w:rPr>
        <w:t xml:space="preserve">autonomia", </w:t>
      </w:r>
      <w:r w:rsidRPr="00E65025">
        <w:rPr>
          <w:rFonts w:ascii="Bookman Old Style" w:hAnsi="Bookman Old Style" w:cstheme="minorHAnsi"/>
          <w:iCs/>
          <w:color w:val="000000"/>
          <w:sz w:val="24"/>
          <w:szCs w:val="24"/>
        </w:rPr>
        <w:t>su iniziativa</w:t>
      </w:r>
      <w:r w:rsidRPr="00E65025">
        <w:rPr>
          <w:rFonts w:ascii="Bookman Old Style" w:hAnsi="Bookman Old Style" w:cstheme="minorHAnsi"/>
          <w:color w:val="000000"/>
          <w:sz w:val="24"/>
          <w:szCs w:val="24"/>
        </w:rPr>
        <w:t xml:space="preserve"> </w:t>
      </w:r>
      <w:r w:rsidRPr="00E65025">
        <w:rPr>
          <w:rFonts w:ascii="Bookman Old Style" w:hAnsi="Bookman Old Style" w:cstheme="minorHAnsi"/>
          <w:iCs/>
          <w:color w:val="000000"/>
          <w:sz w:val="24"/>
          <w:szCs w:val="24"/>
        </w:rPr>
        <w:t>della Regione interessata, sentiti gli enti locali e nel rispetto dei princìpi di</w:t>
      </w:r>
      <w:r w:rsidRPr="00E65025">
        <w:rPr>
          <w:rFonts w:ascii="Bookman Old Style" w:hAnsi="Bookman Old Style" w:cstheme="minorHAnsi"/>
          <w:color w:val="000000"/>
          <w:sz w:val="24"/>
          <w:szCs w:val="24"/>
        </w:rPr>
        <w:t xml:space="preserve"> </w:t>
      </w:r>
      <w:r w:rsidRPr="00E65025">
        <w:rPr>
          <w:rFonts w:ascii="Bookman Old Style" w:hAnsi="Bookman Old Style" w:cstheme="minorHAnsi"/>
          <w:iCs/>
          <w:color w:val="000000"/>
          <w:sz w:val="24"/>
          <w:szCs w:val="24"/>
        </w:rPr>
        <w:t>cui all'articolo 119. La legge è approvata dalle Camere a maggioranza</w:t>
      </w:r>
      <w:r w:rsidRPr="00E65025">
        <w:rPr>
          <w:rFonts w:ascii="Bookman Old Style" w:hAnsi="Bookman Old Style" w:cstheme="minorHAnsi"/>
          <w:color w:val="000000"/>
          <w:sz w:val="24"/>
          <w:szCs w:val="24"/>
        </w:rPr>
        <w:t xml:space="preserve"> </w:t>
      </w:r>
      <w:r w:rsidRPr="00E65025">
        <w:rPr>
          <w:rFonts w:ascii="Bookman Old Style" w:hAnsi="Bookman Old Style" w:cstheme="minorHAnsi"/>
          <w:iCs/>
          <w:color w:val="000000"/>
          <w:sz w:val="24"/>
          <w:szCs w:val="24"/>
        </w:rPr>
        <w:t>assoluta dei componenti sulla base di una intesa fra lo Stato e la Regione</w:t>
      </w:r>
      <w:r w:rsidRPr="00E65025">
        <w:rPr>
          <w:rFonts w:ascii="Bookman Old Style" w:hAnsi="Bookman Old Style" w:cstheme="minorHAnsi"/>
          <w:color w:val="000000"/>
          <w:sz w:val="24"/>
          <w:szCs w:val="24"/>
        </w:rPr>
        <w:t xml:space="preserve"> </w:t>
      </w:r>
      <w:r w:rsidRPr="00E65025">
        <w:rPr>
          <w:rFonts w:ascii="Bookman Old Style" w:hAnsi="Bookman Old Style" w:cstheme="minorHAnsi"/>
          <w:iCs/>
          <w:color w:val="000000"/>
          <w:sz w:val="24"/>
          <w:szCs w:val="24"/>
        </w:rPr>
        <w:t>interessata</w:t>
      </w:r>
      <w:r w:rsidRPr="00E65025">
        <w:rPr>
          <w:rFonts w:ascii="Bookman Old Style" w:hAnsi="Bookman Old Style" w:cstheme="minorHAnsi"/>
          <w:color w:val="000000"/>
          <w:sz w:val="24"/>
          <w:szCs w:val="24"/>
        </w:rPr>
        <w:t>.</w:t>
      </w:r>
      <w:r w:rsidR="00CE0CFE">
        <w:rPr>
          <w:rFonts w:ascii="Bookman Old Style" w:hAnsi="Bookman Old Style" w:cstheme="minorHAnsi"/>
          <w:color w:val="000000"/>
          <w:sz w:val="24"/>
          <w:szCs w:val="24"/>
        </w:rPr>
        <w:t xml:space="preserve"> </w:t>
      </w:r>
      <w:r w:rsidRPr="00E65025">
        <w:rPr>
          <w:rFonts w:ascii="Bookman Old Style" w:hAnsi="Bookman Old Style" w:cstheme="minorHAnsi"/>
          <w:bCs/>
          <w:color w:val="000000"/>
          <w:sz w:val="24"/>
          <w:szCs w:val="24"/>
        </w:rPr>
        <w:t>La disposizione costituzionale circoscrive le materie su cui sono attivabili</w:t>
      </w:r>
      <w:r w:rsidRPr="00E65025">
        <w:rPr>
          <w:rFonts w:ascii="Bookman Old Style" w:hAnsi="Bookman Old Style" w:cstheme="minorHAnsi"/>
          <w:color w:val="000000"/>
          <w:sz w:val="24"/>
          <w:szCs w:val="24"/>
        </w:rPr>
        <w:t xml:space="preserve"> </w:t>
      </w:r>
      <w:r w:rsidRPr="00E65025">
        <w:rPr>
          <w:rFonts w:ascii="Bookman Old Style" w:hAnsi="Bookman Old Style" w:cstheme="minorHAnsi"/>
          <w:bCs/>
          <w:color w:val="000000"/>
          <w:sz w:val="24"/>
          <w:szCs w:val="24"/>
        </w:rPr>
        <w:t xml:space="preserve">le </w:t>
      </w:r>
      <w:r w:rsidR="00272511">
        <w:rPr>
          <w:rFonts w:ascii="Bookman Old Style" w:hAnsi="Bookman Old Style" w:cstheme="minorHAnsi"/>
          <w:bCs/>
          <w:color w:val="000000"/>
          <w:sz w:val="24"/>
          <w:szCs w:val="24"/>
        </w:rPr>
        <w:t>maggiori autonomie regionali</w:t>
      </w:r>
      <w:r w:rsidRPr="00E65025">
        <w:rPr>
          <w:rFonts w:ascii="Bookman Old Style" w:hAnsi="Bookman Old Style" w:cstheme="minorHAnsi"/>
          <w:bCs/>
          <w:color w:val="000000"/>
          <w:sz w:val="24"/>
          <w:szCs w:val="24"/>
        </w:rPr>
        <w:t>:</w:t>
      </w:r>
    </w:p>
    <w:p w14:paraId="4D8D7EF2" w14:textId="77777777" w:rsidR="00E65025" w:rsidRPr="00E65025" w:rsidRDefault="00E65025" w:rsidP="001D0B66">
      <w:pPr>
        <w:pStyle w:val="Paragrafoelenco"/>
        <w:numPr>
          <w:ilvl w:val="0"/>
          <w:numId w:val="5"/>
        </w:numPr>
        <w:spacing w:after="120" w:line="264" w:lineRule="auto"/>
        <w:contextualSpacing w:val="0"/>
        <w:jc w:val="both"/>
        <w:rPr>
          <w:rFonts w:ascii="Bookman Old Style" w:hAnsi="Bookman Old Style" w:cstheme="minorHAnsi"/>
          <w:color w:val="000000"/>
          <w:sz w:val="24"/>
          <w:szCs w:val="24"/>
        </w:rPr>
      </w:pPr>
      <w:r w:rsidRPr="00E65025">
        <w:rPr>
          <w:rFonts w:ascii="Bookman Old Style" w:hAnsi="Bookman Old Style" w:cstheme="minorHAnsi"/>
          <w:bCs/>
          <w:color w:val="000000"/>
          <w:sz w:val="24"/>
          <w:szCs w:val="24"/>
        </w:rPr>
        <w:t xml:space="preserve">tutte </w:t>
      </w:r>
      <w:r w:rsidRPr="00E65025">
        <w:rPr>
          <w:rFonts w:ascii="Bookman Old Style" w:hAnsi="Bookman Old Style" w:cstheme="minorHAnsi"/>
          <w:color w:val="000000"/>
          <w:sz w:val="24"/>
          <w:szCs w:val="24"/>
        </w:rPr>
        <w:t xml:space="preserve">le materie di </w:t>
      </w:r>
      <w:r w:rsidRPr="00E65025">
        <w:rPr>
          <w:rFonts w:ascii="Bookman Old Style" w:hAnsi="Bookman Old Style" w:cstheme="minorHAnsi"/>
          <w:bCs/>
          <w:color w:val="000000"/>
          <w:sz w:val="24"/>
          <w:szCs w:val="24"/>
        </w:rPr>
        <w:t xml:space="preserve">potestà legislativa </w:t>
      </w:r>
      <w:r w:rsidRPr="00E65025">
        <w:rPr>
          <w:rFonts w:ascii="Bookman Old Style" w:hAnsi="Bookman Old Style" w:cstheme="minorHAnsi"/>
          <w:bCs/>
          <w:color w:val="000000"/>
          <w:sz w:val="24"/>
          <w:szCs w:val="24"/>
          <w:u w:val="single"/>
        </w:rPr>
        <w:t>concorrente</w:t>
      </w:r>
      <w:r w:rsidRPr="00E65025">
        <w:rPr>
          <w:rFonts w:ascii="Bookman Old Style" w:hAnsi="Bookman Old Style" w:cstheme="minorHAnsi"/>
          <w:bCs/>
          <w:color w:val="000000"/>
          <w:sz w:val="24"/>
          <w:szCs w:val="24"/>
        </w:rPr>
        <w:t xml:space="preserve"> </w:t>
      </w:r>
      <w:r w:rsidRPr="00E65025">
        <w:rPr>
          <w:rFonts w:ascii="Bookman Old Style" w:hAnsi="Bookman Old Style" w:cstheme="minorHAnsi"/>
          <w:color w:val="000000"/>
          <w:sz w:val="24"/>
          <w:szCs w:val="24"/>
        </w:rPr>
        <w:t>(art. 117, terzo comma, Cost);</w:t>
      </w:r>
    </w:p>
    <w:p w14:paraId="484BEA0C" w14:textId="77777777" w:rsidR="00E65025" w:rsidRPr="00E65025" w:rsidRDefault="00E65025" w:rsidP="001D0B66">
      <w:pPr>
        <w:pStyle w:val="Paragrafoelenco"/>
        <w:numPr>
          <w:ilvl w:val="0"/>
          <w:numId w:val="5"/>
        </w:numPr>
        <w:spacing w:after="120" w:line="264" w:lineRule="auto"/>
        <w:contextualSpacing w:val="0"/>
        <w:jc w:val="both"/>
        <w:rPr>
          <w:rFonts w:ascii="Bookman Old Style" w:hAnsi="Bookman Old Style" w:cstheme="minorHAnsi"/>
          <w:color w:val="000000"/>
          <w:sz w:val="24"/>
          <w:szCs w:val="24"/>
        </w:rPr>
      </w:pPr>
      <w:r w:rsidRPr="00E65025">
        <w:rPr>
          <w:rFonts w:ascii="Bookman Old Style" w:hAnsi="Bookman Old Style" w:cstheme="minorHAnsi"/>
          <w:color w:val="000000"/>
          <w:sz w:val="24"/>
          <w:szCs w:val="24"/>
        </w:rPr>
        <w:t xml:space="preserve">le seguenti materie di </w:t>
      </w:r>
      <w:r w:rsidRPr="00E65025">
        <w:rPr>
          <w:rFonts w:ascii="Bookman Old Style" w:hAnsi="Bookman Old Style" w:cstheme="minorHAnsi"/>
          <w:bCs/>
          <w:color w:val="000000"/>
          <w:sz w:val="24"/>
          <w:szCs w:val="24"/>
        </w:rPr>
        <w:t xml:space="preserve">potestà legislativa </w:t>
      </w:r>
      <w:r w:rsidRPr="00E65025">
        <w:rPr>
          <w:rFonts w:ascii="Bookman Old Style" w:hAnsi="Bookman Old Style" w:cstheme="minorHAnsi"/>
          <w:bCs/>
          <w:color w:val="000000"/>
          <w:sz w:val="24"/>
          <w:szCs w:val="24"/>
          <w:u w:val="single"/>
        </w:rPr>
        <w:t>esclusiva statale</w:t>
      </w:r>
      <w:r w:rsidRPr="00E65025">
        <w:rPr>
          <w:rFonts w:ascii="Bookman Old Style" w:hAnsi="Bookman Old Style" w:cstheme="minorHAnsi"/>
          <w:color w:val="000000"/>
          <w:sz w:val="24"/>
          <w:szCs w:val="24"/>
        </w:rPr>
        <w:t xml:space="preserve">: organizzazione della giustizia di pace (art. 117, secondo comma, lett. </w:t>
      </w:r>
      <w:r w:rsidRPr="00E65025">
        <w:rPr>
          <w:rFonts w:ascii="Bookman Old Style" w:hAnsi="Bookman Old Style" w:cstheme="minorHAnsi"/>
          <w:i/>
          <w:iCs/>
          <w:color w:val="000000"/>
          <w:sz w:val="24"/>
          <w:szCs w:val="24"/>
        </w:rPr>
        <w:t>l)</w:t>
      </w:r>
      <w:r w:rsidRPr="00E65025">
        <w:rPr>
          <w:rFonts w:ascii="Bookman Old Style" w:hAnsi="Bookman Old Style" w:cstheme="minorHAnsi"/>
          <w:color w:val="000000"/>
          <w:sz w:val="24"/>
          <w:szCs w:val="24"/>
        </w:rPr>
        <w:t xml:space="preserve">, Cost.); norme generali sull'istruzione (art. 117, secondo comma, lett. </w:t>
      </w:r>
      <w:r w:rsidRPr="00E65025">
        <w:rPr>
          <w:rFonts w:ascii="Bookman Old Style" w:hAnsi="Bookman Old Style" w:cstheme="minorHAnsi"/>
          <w:i/>
          <w:iCs/>
          <w:color w:val="000000"/>
          <w:sz w:val="24"/>
          <w:szCs w:val="24"/>
        </w:rPr>
        <w:t>n)</w:t>
      </w:r>
      <w:r w:rsidRPr="00E65025">
        <w:rPr>
          <w:rFonts w:ascii="Bookman Old Style" w:hAnsi="Bookman Old Style" w:cstheme="minorHAnsi"/>
          <w:color w:val="000000"/>
          <w:sz w:val="24"/>
          <w:szCs w:val="24"/>
        </w:rPr>
        <w:t xml:space="preserve">, Cost.); tutela dell'ambiente, dell'ecosistema e dei beni culturali (art. 117, secondo comma, lett. </w:t>
      </w:r>
      <w:r w:rsidRPr="00E65025">
        <w:rPr>
          <w:rFonts w:ascii="Bookman Old Style" w:hAnsi="Bookman Old Style" w:cstheme="minorHAnsi"/>
          <w:i/>
          <w:iCs/>
          <w:color w:val="000000"/>
          <w:sz w:val="24"/>
          <w:szCs w:val="24"/>
        </w:rPr>
        <w:t>s)</w:t>
      </w:r>
      <w:r w:rsidRPr="00E65025">
        <w:rPr>
          <w:rFonts w:ascii="Bookman Old Style" w:hAnsi="Bookman Old Style" w:cstheme="minorHAnsi"/>
          <w:color w:val="000000"/>
          <w:sz w:val="24"/>
          <w:szCs w:val="24"/>
        </w:rPr>
        <w:t xml:space="preserve">, Cost.). </w:t>
      </w:r>
    </w:p>
    <w:p w14:paraId="235EA9EC" w14:textId="1362FCDD" w:rsidR="00E65025" w:rsidRPr="00E65025" w:rsidRDefault="00E65025" w:rsidP="001D0B66">
      <w:pPr>
        <w:spacing w:after="120" w:line="264" w:lineRule="auto"/>
        <w:jc w:val="both"/>
        <w:rPr>
          <w:rFonts w:ascii="Bookman Old Style" w:hAnsi="Bookman Old Style" w:cs="Times New Roman"/>
          <w:sz w:val="24"/>
          <w:szCs w:val="24"/>
        </w:rPr>
      </w:pPr>
      <w:r w:rsidRPr="00E65025">
        <w:rPr>
          <w:rFonts w:ascii="Bookman Old Style" w:hAnsi="Bookman Old Style" w:cs="Times New Roman"/>
          <w:sz w:val="24"/>
          <w:szCs w:val="24"/>
        </w:rPr>
        <w:t xml:space="preserve">Tra la scorsa Legislatura e l’inizio dell’attuale il tema del regionalismo differenziato ha ripreso vigore, con una serie di iniziative regionali volte all’attuazione della norma costituzionale. Queste iniziative si inseriscono nel quadro di un rilancio dei temi dell’autonomia e della sussidiarietà, i cui processi attuativi, quale quello relativo </w:t>
      </w:r>
      <w:r w:rsidR="00272511">
        <w:rPr>
          <w:rFonts w:ascii="Bookman Old Style" w:hAnsi="Bookman Old Style" w:cs="Times New Roman"/>
          <w:sz w:val="24"/>
          <w:szCs w:val="24"/>
        </w:rPr>
        <w:t xml:space="preserve">al </w:t>
      </w:r>
      <w:r w:rsidR="00272511" w:rsidRPr="003849E3">
        <w:rPr>
          <w:rFonts w:ascii="Bookman Old Style" w:hAnsi="Bookman Old Style" w:cs="Times New Roman"/>
          <w:i/>
          <w:sz w:val="24"/>
          <w:szCs w:val="24"/>
        </w:rPr>
        <w:t>regionalismo differenziato</w:t>
      </w:r>
      <w:r w:rsidRPr="00E65025">
        <w:rPr>
          <w:rFonts w:ascii="Bookman Old Style" w:hAnsi="Bookman Old Style" w:cs="Times New Roman"/>
          <w:sz w:val="24"/>
          <w:szCs w:val="24"/>
        </w:rPr>
        <w:t xml:space="preserve">, devono costituire uno strumento per conseguire nuovi equilibri tra le varietà e le specificità territoriali e un contesto di organica e solidale valorizzazione dell’intero sistema delle autonomie, alla luce di quanto stabilito dall’articolo 5 della Costituzione. </w:t>
      </w:r>
      <w:r w:rsidRPr="00E65025">
        <w:rPr>
          <w:rFonts w:ascii="Bookman Old Style" w:hAnsi="Bookman Old Style"/>
          <w:sz w:val="24"/>
          <w:szCs w:val="24"/>
        </w:rPr>
        <w:t xml:space="preserve">L’attuazione dell’articolo 116 della Costituzione va </w:t>
      </w:r>
      <w:r w:rsidR="00272511">
        <w:rPr>
          <w:rFonts w:ascii="Bookman Old Style" w:hAnsi="Bookman Old Style"/>
          <w:sz w:val="24"/>
          <w:szCs w:val="24"/>
        </w:rPr>
        <w:t xml:space="preserve">dunque </w:t>
      </w:r>
      <w:r w:rsidRPr="00E65025">
        <w:rPr>
          <w:rFonts w:ascii="Bookman Old Style" w:hAnsi="Bookman Old Style"/>
          <w:sz w:val="24"/>
          <w:szCs w:val="24"/>
        </w:rPr>
        <w:t>collocata</w:t>
      </w:r>
      <w:r w:rsidR="00CE0CFE">
        <w:rPr>
          <w:rFonts w:ascii="Bookman Old Style" w:hAnsi="Bookman Old Style"/>
          <w:sz w:val="24"/>
          <w:szCs w:val="24"/>
        </w:rPr>
        <w:t xml:space="preserve"> </w:t>
      </w:r>
      <w:r w:rsidRPr="00E65025">
        <w:rPr>
          <w:rFonts w:ascii="Bookman Old Style" w:hAnsi="Bookman Old Style"/>
          <w:sz w:val="24"/>
          <w:szCs w:val="24"/>
        </w:rPr>
        <w:t>nel quadro di una attenta valorizzazione dei principi di autonomia e responsabilità previsti negli articoli 5, 114, 118 e 119 della Costituzione per il complesso degli enti autonomi territoriali.</w:t>
      </w:r>
    </w:p>
    <w:p w14:paraId="01A99B3B" w14:textId="5D8DB971" w:rsidR="00E65025" w:rsidRDefault="00272511" w:rsidP="001D0B66">
      <w:pPr>
        <w:spacing w:after="120" w:line="264" w:lineRule="auto"/>
        <w:jc w:val="both"/>
        <w:rPr>
          <w:rFonts w:ascii="Bookman Old Style" w:hAnsi="Bookman Old Style" w:cs="Times New Roman"/>
          <w:sz w:val="24"/>
          <w:szCs w:val="24"/>
        </w:rPr>
      </w:pPr>
      <w:r>
        <w:rPr>
          <w:rFonts w:ascii="Bookman Old Style" w:hAnsi="Bookman Old Style" w:cs="Times New Roman"/>
          <w:sz w:val="24"/>
          <w:szCs w:val="24"/>
        </w:rPr>
        <w:t xml:space="preserve">Deve essere </w:t>
      </w:r>
      <w:r w:rsidR="00E65025" w:rsidRPr="00E65025">
        <w:rPr>
          <w:rFonts w:ascii="Bookman Old Style" w:hAnsi="Bookman Old Style" w:cs="Times New Roman"/>
          <w:sz w:val="24"/>
          <w:szCs w:val="24"/>
        </w:rPr>
        <w:t>rimarcata</w:t>
      </w:r>
      <w:r>
        <w:rPr>
          <w:rFonts w:ascii="Bookman Old Style" w:hAnsi="Bookman Old Style" w:cs="Times New Roman"/>
          <w:sz w:val="24"/>
          <w:szCs w:val="24"/>
        </w:rPr>
        <w:t>, infatti,</w:t>
      </w:r>
      <w:r w:rsidR="00E65025" w:rsidRPr="00E65025">
        <w:rPr>
          <w:rFonts w:ascii="Bookman Old Style" w:hAnsi="Bookman Old Style" w:cs="Times New Roman"/>
          <w:sz w:val="24"/>
          <w:szCs w:val="24"/>
        </w:rPr>
        <w:t xml:space="preserve"> l’imprescindibile necessità che queste istanze si collochino in un contesto di attenta salvaguardia dei fondamentali valori costituzionali di unità giuridica ed economica del Paese e nell’affermazione di una funzione unificante dello Stato, in un’ottica di massimo decentramento e massimo coordinamento.</w:t>
      </w:r>
    </w:p>
    <w:p w14:paraId="5D794EAC" w14:textId="77777777" w:rsidR="00F52DC2" w:rsidRDefault="00F52DC2" w:rsidP="00AD59DD">
      <w:pPr>
        <w:pStyle w:val="Titolo1"/>
      </w:pPr>
      <w:bookmarkStart w:id="13" w:name="_Toc11698128"/>
    </w:p>
    <w:p w14:paraId="62B4C766" w14:textId="3C5A65F9" w:rsidR="00E65025" w:rsidRPr="003840AA" w:rsidRDefault="00E65025" w:rsidP="003840AA">
      <w:pPr>
        <w:pStyle w:val="Titolo3"/>
        <w:ind w:left="0"/>
        <w:rPr>
          <w:i w:val="0"/>
          <w:iCs/>
        </w:rPr>
      </w:pPr>
      <w:bookmarkStart w:id="14" w:name="_Toc24483146"/>
      <w:r w:rsidRPr="003840AA">
        <w:rPr>
          <w:i w:val="0"/>
          <w:iCs/>
        </w:rPr>
        <w:t>Proposte di merito: i principi che guidano l’attuazione dell’art. 116, c. 3 Cost.</w:t>
      </w:r>
      <w:bookmarkEnd w:id="13"/>
      <w:bookmarkEnd w:id="14"/>
    </w:p>
    <w:p w14:paraId="4C529143" w14:textId="020C91A5" w:rsidR="00E65025" w:rsidRPr="00E65025" w:rsidRDefault="00E65025"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I </w:t>
      </w:r>
      <w:r w:rsidRPr="00E65025">
        <w:rPr>
          <w:rFonts w:ascii="Bookman Old Style" w:hAnsi="Bookman Old Style"/>
          <w:sz w:val="24"/>
          <w:szCs w:val="24"/>
          <w:u w:val="single"/>
        </w:rPr>
        <w:t>processi di differenziazione regionale vanno necessariamente inquadrati in un’ottica di sistema ed alla luce dell’impianto autonomistico che informa la Repubblica</w:t>
      </w:r>
      <w:r w:rsidRPr="00E65025">
        <w:rPr>
          <w:rFonts w:ascii="Bookman Old Style" w:hAnsi="Bookman Old Style"/>
          <w:sz w:val="24"/>
          <w:szCs w:val="24"/>
        </w:rPr>
        <w:t xml:space="preserve">. </w:t>
      </w:r>
      <w:r w:rsidR="00272511">
        <w:rPr>
          <w:rFonts w:ascii="Bookman Old Style" w:hAnsi="Bookman Old Style"/>
          <w:sz w:val="24"/>
          <w:szCs w:val="24"/>
        </w:rPr>
        <w:t>D</w:t>
      </w:r>
      <w:r w:rsidRPr="00E65025">
        <w:rPr>
          <w:rFonts w:ascii="Bookman Old Style" w:hAnsi="Bookman Old Style"/>
          <w:sz w:val="24"/>
          <w:szCs w:val="24"/>
        </w:rPr>
        <w:t xml:space="preserve">al punto di vista delle autonomie locali il percorso di attuazione all’art. 116, c. 3 Cost deve essere necessariamente guidato dai seguenti </w:t>
      </w:r>
      <w:r w:rsidRPr="00E65025">
        <w:rPr>
          <w:rFonts w:ascii="Bookman Old Style" w:hAnsi="Bookman Old Style"/>
          <w:sz w:val="24"/>
          <w:szCs w:val="24"/>
          <w:u w:val="single"/>
        </w:rPr>
        <w:t>principi e criteri direttivi</w:t>
      </w:r>
      <w:r w:rsidRPr="00E65025">
        <w:rPr>
          <w:rFonts w:ascii="Bookman Old Style" w:hAnsi="Bookman Old Style"/>
          <w:sz w:val="24"/>
          <w:szCs w:val="24"/>
        </w:rPr>
        <w:t>:</w:t>
      </w:r>
    </w:p>
    <w:p w14:paraId="169B8A4A" w14:textId="176DE0F7" w:rsidR="00E65025" w:rsidRPr="00E65025" w:rsidRDefault="00E65025" w:rsidP="003849E3">
      <w:pPr>
        <w:pStyle w:val="Paragrafoelenco"/>
        <w:numPr>
          <w:ilvl w:val="0"/>
          <w:numId w:val="6"/>
        </w:numPr>
        <w:spacing w:after="60" w:line="264" w:lineRule="auto"/>
        <w:ind w:left="714" w:hanging="357"/>
        <w:contextualSpacing w:val="0"/>
        <w:jc w:val="both"/>
        <w:rPr>
          <w:rFonts w:ascii="Bookman Old Style" w:hAnsi="Bookman Old Style"/>
          <w:sz w:val="24"/>
          <w:szCs w:val="24"/>
        </w:rPr>
      </w:pPr>
      <w:r w:rsidRPr="00E65025">
        <w:rPr>
          <w:rFonts w:ascii="Bookman Old Style" w:hAnsi="Bookman Old Style"/>
          <w:sz w:val="24"/>
          <w:szCs w:val="24"/>
        </w:rPr>
        <w:t>la tutela dell’unità giuridica e dell’unità economica della Repubblica;</w:t>
      </w:r>
      <w:r w:rsidR="00CE0CFE">
        <w:rPr>
          <w:rFonts w:ascii="Bookman Old Style" w:hAnsi="Bookman Old Style"/>
          <w:sz w:val="24"/>
          <w:szCs w:val="24"/>
        </w:rPr>
        <w:t xml:space="preserve"> </w:t>
      </w:r>
    </w:p>
    <w:p w14:paraId="6814EF47" w14:textId="306412AD" w:rsidR="00E65025" w:rsidRPr="00E65025" w:rsidRDefault="00E65025" w:rsidP="003849E3">
      <w:pPr>
        <w:pStyle w:val="Paragrafoelenco"/>
        <w:numPr>
          <w:ilvl w:val="0"/>
          <w:numId w:val="6"/>
        </w:numPr>
        <w:spacing w:after="60" w:line="264" w:lineRule="auto"/>
        <w:ind w:left="714" w:hanging="357"/>
        <w:contextualSpacing w:val="0"/>
        <w:jc w:val="both"/>
        <w:rPr>
          <w:rFonts w:ascii="Bookman Old Style" w:hAnsi="Bookman Old Style"/>
          <w:sz w:val="24"/>
          <w:szCs w:val="24"/>
        </w:rPr>
      </w:pPr>
      <w:r w:rsidRPr="00E65025">
        <w:rPr>
          <w:rFonts w:ascii="Bookman Old Style" w:hAnsi="Bookman Old Style"/>
          <w:sz w:val="24"/>
          <w:szCs w:val="24"/>
        </w:rPr>
        <w:t xml:space="preserve">la fissazione e la tutela dei livelli essenziali delle prestazioni </w:t>
      </w:r>
      <w:r w:rsidR="00272511">
        <w:rPr>
          <w:rFonts w:ascii="Bookman Old Style" w:hAnsi="Bookman Old Style"/>
          <w:sz w:val="24"/>
          <w:szCs w:val="24"/>
        </w:rPr>
        <w:t xml:space="preserve">(LEP) </w:t>
      </w:r>
      <w:r w:rsidRPr="00E65025">
        <w:rPr>
          <w:rFonts w:ascii="Bookman Old Style" w:hAnsi="Bookman Old Style"/>
          <w:sz w:val="24"/>
          <w:szCs w:val="24"/>
        </w:rPr>
        <w:t>concernenti i diritti civili e sociali che devono essere garantiti su tutto il territorio nazionale;</w:t>
      </w:r>
    </w:p>
    <w:p w14:paraId="062C720E" w14:textId="77777777" w:rsidR="00E65025" w:rsidRPr="00E65025" w:rsidRDefault="00E65025" w:rsidP="003849E3">
      <w:pPr>
        <w:pStyle w:val="Paragrafoelenco"/>
        <w:numPr>
          <w:ilvl w:val="0"/>
          <w:numId w:val="6"/>
        </w:numPr>
        <w:spacing w:after="60" w:line="264" w:lineRule="auto"/>
        <w:ind w:left="714" w:hanging="357"/>
        <w:contextualSpacing w:val="0"/>
        <w:rPr>
          <w:rFonts w:ascii="Bookman Old Style" w:hAnsi="Bookman Old Style"/>
          <w:sz w:val="24"/>
          <w:szCs w:val="24"/>
        </w:rPr>
      </w:pPr>
      <w:r w:rsidRPr="00E65025">
        <w:rPr>
          <w:rFonts w:ascii="Bookman Old Style" w:hAnsi="Bookman Old Style"/>
          <w:sz w:val="24"/>
          <w:szCs w:val="24"/>
        </w:rPr>
        <w:t xml:space="preserve">la propedeutica definizione dei fabbisogni e dei costi standard; </w:t>
      </w:r>
    </w:p>
    <w:p w14:paraId="72202ED7" w14:textId="77777777" w:rsidR="00E65025" w:rsidRPr="00E65025" w:rsidRDefault="00E65025" w:rsidP="003849E3">
      <w:pPr>
        <w:pStyle w:val="Paragrafoelenco"/>
        <w:numPr>
          <w:ilvl w:val="0"/>
          <w:numId w:val="6"/>
        </w:numPr>
        <w:spacing w:after="60" w:line="264" w:lineRule="auto"/>
        <w:ind w:left="714" w:hanging="357"/>
        <w:contextualSpacing w:val="0"/>
        <w:rPr>
          <w:rFonts w:ascii="Bookman Old Style" w:hAnsi="Bookman Old Style"/>
          <w:sz w:val="24"/>
          <w:szCs w:val="24"/>
        </w:rPr>
      </w:pPr>
      <w:r w:rsidRPr="00E65025">
        <w:rPr>
          <w:rFonts w:ascii="Bookman Old Style" w:hAnsi="Bookman Old Style"/>
          <w:sz w:val="24"/>
          <w:szCs w:val="24"/>
        </w:rPr>
        <w:lastRenderedPageBreak/>
        <w:t>il principio di sussidiarietà, differenziazione e adeguatezza, nonché il principio di leale collaborazione;</w:t>
      </w:r>
    </w:p>
    <w:p w14:paraId="57B1F14E" w14:textId="77777777" w:rsidR="00E65025" w:rsidRPr="00E65025" w:rsidRDefault="00E65025" w:rsidP="003849E3">
      <w:pPr>
        <w:pStyle w:val="Paragrafoelenco"/>
        <w:numPr>
          <w:ilvl w:val="0"/>
          <w:numId w:val="6"/>
        </w:numPr>
        <w:spacing w:after="60" w:line="264" w:lineRule="auto"/>
        <w:ind w:left="714" w:hanging="357"/>
        <w:contextualSpacing w:val="0"/>
        <w:rPr>
          <w:rFonts w:ascii="Bookman Old Style" w:hAnsi="Bookman Old Style"/>
          <w:sz w:val="24"/>
          <w:szCs w:val="24"/>
        </w:rPr>
      </w:pPr>
      <w:r w:rsidRPr="00E65025">
        <w:rPr>
          <w:rFonts w:ascii="Bookman Old Style" w:hAnsi="Bookman Old Style"/>
          <w:sz w:val="24"/>
          <w:szCs w:val="24"/>
        </w:rPr>
        <w:t>l’intangibilità delle funzioni fondamentali attualmente assegnate a Comuni, Province e Città metropolitane e dei vari profili ordinamentali degli enti locali;</w:t>
      </w:r>
    </w:p>
    <w:p w14:paraId="60831945" w14:textId="373C170C" w:rsidR="00E65025" w:rsidRPr="00E65025" w:rsidRDefault="00272511" w:rsidP="003849E3">
      <w:pPr>
        <w:pStyle w:val="Paragrafoelenco"/>
        <w:numPr>
          <w:ilvl w:val="0"/>
          <w:numId w:val="6"/>
        </w:numPr>
        <w:shd w:val="clear" w:color="auto" w:fill="FFFFFF" w:themeFill="background1"/>
        <w:spacing w:after="60" w:line="264" w:lineRule="auto"/>
        <w:ind w:left="714" w:hanging="357"/>
        <w:contextualSpacing w:val="0"/>
        <w:jc w:val="both"/>
        <w:rPr>
          <w:rFonts w:ascii="Bookman Old Style" w:hAnsi="Bookman Old Style"/>
          <w:sz w:val="24"/>
          <w:szCs w:val="24"/>
        </w:rPr>
      </w:pPr>
      <w:r>
        <w:rPr>
          <w:rFonts w:ascii="Bookman Old Style" w:hAnsi="Bookman Old Style"/>
          <w:sz w:val="24"/>
          <w:szCs w:val="24"/>
        </w:rPr>
        <w:t>i</w:t>
      </w:r>
      <w:r w:rsidRPr="00E65025">
        <w:rPr>
          <w:rFonts w:ascii="Bookman Old Style" w:hAnsi="Bookman Old Style"/>
          <w:sz w:val="24"/>
          <w:szCs w:val="24"/>
        </w:rPr>
        <w:t xml:space="preserve">l </w:t>
      </w:r>
      <w:r w:rsidR="00E65025" w:rsidRPr="00E65025">
        <w:rPr>
          <w:rFonts w:ascii="Bookman Old Style" w:hAnsi="Bookman Old Style"/>
          <w:sz w:val="24"/>
          <w:szCs w:val="24"/>
        </w:rPr>
        <w:t>mantenimento da parte delle Regioni di un ruolo legislativo, di indirizzo e programmazione;</w:t>
      </w:r>
    </w:p>
    <w:p w14:paraId="20248D26" w14:textId="77777777" w:rsidR="00E65025" w:rsidRPr="00E65025" w:rsidRDefault="00E65025" w:rsidP="001D0B66">
      <w:pPr>
        <w:pStyle w:val="Paragrafoelenco"/>
        <w:numPr>
          <w:ilvl w:val="0"/>
          <w:numId w:val="6"/>
        </w:numPr>
        <w:shd w:val="clear" w:color="auto" w:fill="FFFFFF" w:themeFill="background1"/>
        <w:spacing w:after="120" w:line="264" w:lineRule="auto"/>
        <w:contextualSpacing w:val="0"/>
        <w:jc w:val="both"/>
        <w:rPr>
          <w:rFonts w:ascii="Bookman Old Style" w:hAnsi="Bookman Old Style"/>
          <w:sz w:val="24"/>
          <w:szCs w:val="24"/>
        </w:rPr>
      </w:pPr>
      <w:r w:rsidRPr="00E65025">
        <w:rPr>
          <w:rFonts w:ascii="Bookman Old Style" w:hAnsi="Bookman Old Style"/>
          <w:sz w:val="24"/>
          <w:szCs w:val="24"/>
        </w:rPr>
        <w:t xml:space="preserve">Il rafforzamento delle sedi istituzionali di raccordo di livello regionale e nazionale, nonché l’avvio dell’attuazione della previsione costituzionale che vede l’innesto della rappresentanza degli interessi regionali e locali nel circuito parlamentare, cd </w:t>
      </w:r>
      <w:proofErr w:type="spellStart"/>
      <w:r w:rsidRPr="00E65025">
        <w:rPr>
          <w:rFonts w:ascii="Bookman Old Style" w:hAnsi="Bookman Old Style"/>
          <w:sz w:val="24"/>
          <w:szCs w:val="24"/>
        </w:rPr>
        <w:t>Bicameralina</w:t>
      </w:r>
      <w:proofErr w:type="spellEnd"/>
      <w:r w:rsidRPr="00E65025">
        <w:rPr>
          <w:rFonts w:ascii="Bookman Old Style" w:hAnsi="Bookman Old Style"/>
          <w:sz w:val="24"/>
          <w:szCs w:val="24"/>
        </w:rPr>
        <w:t xml:space="preserve"> integrata.</w:t>
      </w:r>
    </w:p>
    <w:p w14:paraId="35479D28" w14:textId="163BC844" w:rsidR="00E65025" w:rsidRPr="00E65025" w:rsidRDefault="00E65025" w:rsidP="003849E3">
      <w:pPr>
        <w:shd w:val="clear" w:color="auto" w:fill="FFFFFF" w:themeFill="background1"/>
        <w:spacing w:after="120" w:line="264" w:lineRule="auto"/>
        <w:jc w:val="both"/>
        <w:rPr>
          <w:rFonts w:ascii="Bookman Old Style" w:hAnsi="Bookman Old Style"/>
          <w:sz w:val="24"/>
          <w:szCs w:val="24"/>
          <w:u w:val="single"/>
        </w:rPr>
      </w:pPr>
      <w:r w:rsidRPr="00E65025">
        <w:rPr>
          <w:rFonts w:ascii="Bookman Old Style" w:hAnsi="Bookman Old Style"/>
          <w:sz w:val="24"/>
          <w:szCs w:val="24"/>
        </w:rPr>
        <w:t xml:space="preserve">Si ritiene, inoltre, di evidenziare l’opportunità di una riflessione in ordine alla “fragilità” delle forme di tutela delle proprie prerogative costituzionali attivabili dai Comuni, dalle Città metropolitane e dalle Province in sede giurisdizionale. </w:t>
      </w:r>
      <w:r w:rsidRPr="00E65025">
        <w:rPr>
          <w:rFonts w:ascii="Bookman Old Style" w:hAnsi="Bookman Old Style"/>
          <w:sz w:val="24"/>
          <w:szCs w:val="24"/>
          <w:u w:val="single"/>
        </w:rPr>
        <w:t>Ad avviso dell’ANCI, sono ormai mature le condizioni per promuovere una revisione costituzionale che apra ad un accesso diretto</w:t>
      </w:r>
      <w:r w:rsidR="00CE0CFE">
        <w:rPr>
          <w:rFonts w:ascii="Bookman Old Style" w:hAnsi="Bookman Old Style"/>
          <w:sz w:val="24"/>
          <w:szCs w:val="24"/>
          <w:u w:val="single"/>
        </w:rPr>
        <w:t xml:space="preserve"> </w:t>
      </w:r>
      <w:r w:rsidRPr="00E65025">
        <w:rPr>
          <w:rFonts w:ascii="Bookman Old Style" w:hAnsi="Bookman Old Style"/>
          <w:sz w:val="24"/>
          <w:szCs w:val="24"/>
          <w:u w:val="single"/>
        </w:rPr>
        <w:t>al giudizio</w:t>
      </w:r>
      <w:r w:rsidR="00CE0CFE">
        <w:rPr>
          <w:rFonts w:ascii="Bookman Old Style" w:hAnsi="Bookman Old Style"/>
          <w:sz w:val="24"/>
          <w:szCs w:val="24"/>
          <w:u w:val="single"/>
        </w:rPr>
        <w:t xml:space="preserve"> </w:t>
      </w:r>
      <w:r w:rsidRPr="00E65025">
        <w:rPr>
          <w:rFonts w:ascii="Bookman Old Style" w:hAnsi="Bookman Old Style"/>
          <w:sz w:val="24"/>
          <w:szCs w:val="24"/>
          <w:u w:val="single"/>
        </w:rPr>
        <w:t>della Corte costituzionale a difesa delle attribuzion</w:t>
      </w:r>
      <w:r w:rsidR="00670232">
        <w:rPr>
          <w:rFonts w:ascii="Bookman Old Style" w:hAnsi="Bookman Old Style"/>
          <w:sz w:val="24"/>
          <w:szCs w:val="24"/>
          <w:u w:val="single"/>
        </w:rPr>
        <w:t>i</w:t>
      </w:r>
      <w:r w:rsidRPr="00E65025">
        <w:rPr>
          <w:rFonts w:ascii="Bookman Old Style" w:hAnsi="Bookman Old Style"/>
          <w:sz w:val="24"/>
          <w:szCs w:val="24"/>
          <w:u w:val="single"/>
        </w:rPr>
        <w:t xml:space="preserve"> costituzionalmente riconosciute, ai fini di un opportuno bilanciamento anche in vista dell’eventuale assegnazione di forme e condizioni di autonomia differenziata a favore di alcune Regioni.</w:t>
      </w:r>
    </w:p>
    <w:p w14:paraId="1764E3C5" w14:textId="77777777" w:rsidR="00E65025" w:rsidRPr="00E65025" w:rsidRDefault="00E65025" w:rsidP="001D0B66">
      <w:pPr>
        <w:spacing w:after="120" w:line="264" w:lineRule="auto"/>
        <w:jc w:val="both"/>
        <w:rPr>
          <w:rFonts w:ascii="Bookman Old Style" w:hAnsi="Bookman Old Style"/>
          <w:sz w:val="24"/>
          <w:szCs w:val="24"/>
          <w:u w:val="single"/>
        </w:rPr>
      </w:pPr>
    </w:p>
    <w:p w14:paraId="781ADFF6" w14:textId="2BE243B3" w:rsidR="00E65025" w:rsidRPr="00E65025" w:rsidRDefault="00E65025" w:rsidP="001D0B66">
      <w:pPr>
        <w:spacing w:after="120" w:line="264" w:lineRule="auto"/>
        <w:jc w:val="both"/>
        <w:rPr>
          <w:rFonts w:ascii="Bookman Old Style" w:hAnsi="Bookman Old Style"/>
          <w:sz w:val="24"/>
          <w:szCs w:val="24"/>
          <w:u w:val="single"/>
        </w:rPr>
      </w:pPr>
      <w:r w:rsidRPr="00E65025">
        <w:rPr>
          <w:rFonts w:ascii="Bookman Old Style" w:hAnsi="Bookman Old Style"/>
          <w:sz w:val="24"/>
          <w:szCs w:val="24"/>
          <w:u w:val="single"/>
        </w:rPr>
        <w:t xml:space="preserve">In </w:t>
      </w:r>
      <w:r w:rsidR="00DB3B54">
        <w:rPr>
          <w:rFonts w:ascii="Bookman Old Style" w:hAnsi="Bookman Old Style"/>
          <w:sz w:val="24"/>
          <w:szCs w:val="24"/>
          <w:u w:val="single"/>
        </w:rPr>
        <w:t>definitiva</w:t>
      </w:r>
      <w:r w:rsidRPr="00E65025">
        <w:rPr>
          <w:rFonts w:ascii="Bookman Old Style" w:hAnsi="Bookman Old Style"/>
          <w:sz w:val="24"/>
          <w:szCs w:val="24"/>
          <w:u w:val="single"/>
        </w:rPr>
        <w:t xml:space="preserve">, la tutela dell’unità giuridica e dell’unità economica della Repubblica e la tutela dei livelli essenziali delle prestazioni concernenti i diritti civili e sociali che devono essere garantiti su tutto il territorio nazionale rappresentano il perno intorno al quale deve ruotare tutto il ragionamento sull’attuazione dell’art. 116, c.3. </w:t>
      </w:r>
      <w:r w:rsidRPr="00E65025">
        <w:rPr>
          <w:rFonts w:ascii="Bookman Old Style" w:hAnsi="Bookman Old Style"/>
          <w:sz w:val="24"/>
          <w:szCs w:val="24"/>
        </w:rPr>
        <w:t>Il legislatore statale in questo ambito è chiamato ad esercitare il ruolo di garante della realizzazione di tali valori, con la determinazione dei livelli essenziali delle prestazioni</w:t>
      </w:r>
      <w:r w:rsidR="00CE0CFE">
        <w:rPr>
          <w:rFonts w:ascii="Bookman Old Style" w:hAnsi="Bookman Old Style"/>
          <w:sz w:val="24"/>
          <w:szCs w:val="24"/>
        </w:rPr>
        <w:t xml:space="preserve"> </w:t>
      </w:r>
      <w:r w:rsidRPr="00E65025">
        <w:rPr>
          <w:rFonts w:ascii="Bookman Old Style" w:hAnsi="Bookman Old Style"/>
          <w:sz w:val="24"/>
          <w:szCs w:val="24"/>
        </w:rPr>
        <w:t>nel quadro di una finanza autonoma</w:t>
      </w:r>
      <w:r w:rsidR="00DB3B54">
        <w:rPr>
          <w:rFonts w:ascii="Bookman Old Style" w:hAnsi="Bookman Old Style"/>
          <w:sz w:val="24"/>
          <w:szCs w:val="24"/>
        </w:rPr>
        <w:t>,</w:t>
      </w:r>
      <w:r w:rsidRPr="00E65025">
        <w:rPr>
          <w:rFonts w:ascii="Bookman Old Style" w:hAnsi="Bookman Old Style"/>
          <w:sz w:val="24"/>
          <w:szCs w:val="24"/>
        </w:rPr>
        <w:t xml:space="preserve"> che in ogni caso rispetti le ragioni profonde di una dimensione solidaristica delle risorse disponibili, come previsto dall’art. 119 della Costituzione.</w:t>
      </w:r>
    </w:p>
    <w:p w14:paraId="3A0EE0F2" w14:textId="06120E09" w:rsidR="00E65025" w:rsidRPr="00E65025" w:rsidRDefault="00E65025"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Nel processo di attuazione </w:t>
      </w:r>
      <w:r w:rsidR="00DB3B54">
        <w:rPr>
          <w:rFonts w:ascii="Bookman Old Style" w:hAnsi="Bookman Old Style"/>
          <w:sz w:val="24"/>
          <w:szCs w:val="24"/>
        </w:rPr>
        <w:t xml:space="preserve">del </w:t>
      </w:r>
      <w:r w:rsidR="00DB3B54">
        <w:rPr>
          <w:rFonts w:ascii="Bookman Old Style" w:hAnsi="Bookman Old Style"/>
          <w:i/>
          <w:sz w:val="24"/>
          <w:szCs w:val="24"/>
        </w:rPr>
        <w:t xml:space="preserve">regionalismo </w:t>
      </w:r>
      <w:r w:rsidR="00DB3B54" w:rsidRPr="00DB3B54">
        <w:rPr>
          <w:rFonts w:ascii="Bookman Old Style" w:hAnsi="Bookman Old Style"/>
          <w:i/>
          <w:sz w:val="24"/>
          <w:szCs w:val="24"/>
        </w:rPr>
        <w:t>differenziato</w:t>
      </w:r>
      <w:r w:rsidR="00DB3B54">
        <w:rPr>
          <w:rFonts w:ascii="Bookman Old Style" w:hAnsi="Bookman Old Style"/>
          <w:i/>
          <w:sz w:val="24"/>
          <w:szCs w:val="24"/>
        </w:rPr>
        <w:t xml:space="preserve"> </w:t>
      </w:r>
      <w:r w:rsidRPr="008320EB">
        <w:rPr>
          <w:rFonts w:ascii="Bookman Old Style" w:hAnsi="Bookman Old Style"/>
          <w:i/>
          <w:sz w:val="24"/>
          <w:szCs w:val="24"/>
        </w:rPr>
        <w:t>la</w:t>
      </w:r>
      <w:r w:rsidRPr="00E65025">
        <w:rPr>
          <w:rFonts w:ascii="Bookman Old Style" w:hAnsi="Bookman Old Style"/>
          <w:sz w:val="24"/>
          <w:szCs w:val="24"/>
        </w:rPr>
        <w:t xml:space="preserve"> Regione deve coinvolgere e includere i livelli di governo locale, con l’obbiettivo di un rafforzamento istituzionale di tutte le autonomie territoriali.</w:t>
      </w:r>
    </w:p>
    <w:p w14:paraId="67D87210" w14:textId="6DFED466" w:rsidR="00E65025" w:rsidRPr="00E65025" w:rsidRDefault="00E65025"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t xml:space="preserve">Sul piano delle competenze amministrative e delle connesse risorse finanziarie, i processi di attuazione dovranno avvenire nel rispetto, da parte delle Regioni, </w:t>
      </w:r>
      <w:r w:rsidRPr="00E65025">
        <w:rPr>
          <w:rFonts w:ascii="Bookman Old Style" w:hAnsi="Bookman Old Style"/>
          <w:sz w:val="24"/>
          <w:szCs w:val="24"/>
          <w:u w:val="single"/>
        </w:rPr>
        <w:t>del principio di sussidiarietà</w:t>
      </w:r>
      <w:r w:rsidRPr="00E65025">
        <w:rPr>
          <w:rFonts w:ascii="Bookman Old Style" w:hAnsi="Bookman Old Style"/>
          <w:sz w:val="24"/>
          <w:szCs w:val="24"/>
        </w:rPr>
        <w:t xml:space="preserve">, con conseguente piena valorizzazione del ruolo dei Comuni, delle Province e delle Città Metropolitane nella titolarità e nell’esercizio delle funzioni amministrative a livello territoriale. Se così non fosse, il regionalismo differenziato finirebbe col tradursi in un potenziato accentramento regionale, con una ipertrofia amministrativa che </w:t>
      </w:r>
      <w:r w:rsidR="00DB3B54" w:rsidRPr="00E65025">
        <w:rPr>
          <w:rFonts w:ascii="Bookman Old Style" w:hAnsi="Bookman Old Style"/>
          <w:sz w:val="24"/>
          <w:szCs w:val="24"/>
        </w:rPr>
        <w:t>port</w:t>
      </w:r>
      <w:r w:rsidR="00DB3B54">
        <w:rPr>
          <w:rFonts w:ascii="Bookman Old Style" w:hAnsi="Bookman Old Style"/>
          <w:sz w:val="24"/>
          <w:szCs w:val="24"/>
        </w:rPr>
        <w:t xml:space="preserve">erebbe </w:t>
      </w:r>
      <w:r w:rsidRPr="00E65025">
        <w:rPr>
          <w:rFonts w:ascii="Bookman Old Style" w:hAnsi="Bookman Old Style"/>
          <w:sz w:val="24"/>
          <w:szCs w:val="24"/>
        </w:rPr>
        <w:t>alla crescita dell’amministrazione regionale diretta</w:t>
      </w:r>
      <w:r w:rsidR="00DB3B54">
        <w:rPr>
          <w:rFonts w:ascii="Bookman Old Style" w:hAnsi="Bookman Old Style"/>
          <w:sz w:val="24"/>
          <w:szCs w:val="24"/>
        </w:rPr>
        <w:t>,</w:t>
      </w:r>
      <w:r w:rsidRPr="00E65025">
        <w:rPr>
          <w:rFonts w:ascii="Bookman Old Style" w:hAnsi="Bookman Old Style"/>
          <w:sz w:val="24"/>
          <w:szCs w:val="24"/>
        </w:rPr>
        <w:t xml:space="preserve"> o di quella indiretta caratterizzata da enti</w:t>
      </w:r>
      <w:r w:rsidR="00DB3B54">
        <w:rPr>
          <w:rFonts w:ascii="Bookman Old Style" w:hAnsi="Bookman Old Style"/>
          <w:sz w:val="24"/>
          <w:szCs w:val="24"/>
        </w:rPr>
        <w:t xml:space="preserve"> o </w:t>
      </w:r>
      <w:r w:rsidRPr="00E65025">
        <w:rPr>
          <w:rFonts w:ascii="Bookman Old Style" w:hAnsi="Bookman Old Style"/>
          <w:sz w:val="24"/>
          <w:szCs w:val="24"/>
        </w:rPr>
        <w:t>agenzie strumentali, tale da negare non solo il ruolo proprio della Regione, ma ancor prima gli stessi principi costituzionali.</w:t>
      </w:r>
    </w:p>
    <w:p w14:paraId="18BD3F78" w14:textId="513C20A0" w:rsidR="00E65025" w:rsidRPr="00E65025" w:rsidRDefault="00E65025" w:rsidP="001D0B66">
      <w:pPr>
        <w:spacing w:after="120" w:line="264" w:lineRule="auto"/>
        <w:jc w:val="both"/>
        <w:rPr>
          <w:rFonts w:ascii="Bookman Old Style" w:hAnsi="Bookman Old Style"/>
          <w:sz w:val="24"/>
          <w:szCs w:val="24"/>
        </w:rPr>
      </w:pPr>
      <w:r w:rsidRPr="00E65025">
        <w:rPr>
          <w:rFonts w:ascii="Bookman Old Style" w:hAnsi="Bookman Old Style"/>
          <w:sz w:val="24"/>
          <w:szCs w:val="24"/>
        </w:rPr>
        <w:lastRenderedPageBreak/>
        <w:t xml:space="preserve">Nella prospettiva del regionalismo differenziato diviene ancora più essenziale il ruolo del legislatore statale per </w:t>
      </w:r>
      <w:r w:rsidRPr="00E65025">
        <w:rPr>
          <w:rFonts w:ascii="Bookman Old Style" w:hAnsi="Bookman Old Style"/>
          <w:sz w:val="24"/>
          <w:szCs w:val="24"/>
          <w:u w:val="single"/>
        </w:rPr>
        <w:t>l’esplicita conferma dei profili ordinamentali degli enti locali e dell’assetto delle funzioni fondamentali, ai sensi dell’art. 117, co. 2, lett. p), della Costituzione</w:t>
      </w:r>
      <w:r w:rsidRPr="00E65025">
        <w:rPr>
          <w:rFonts w:ascii="Bookman Old Style" w:hAnsi="Bookman Old Style"/>
          <w:sz w:val="24"/>
          <w:szCs w:val="24"/>
        </w:rPr>
        <w:t>. Si tratta di salvaguardare non tanto Comuni, Province e Città Metropolitane nei confronti delle Regioni, quanto di garantire, in attuazione dei disposti costituzionali, i “caratteri comuni”, sul piano dell’ordinamento e delle funzioni, che devono riguardare tutti gli enti locali della Repubblica.</w:t>
      </w:r>
      <w:r w:rsidR="00DB3B54">
        <w:rPr>
          <w:rFonts w:ascii="Bookman Old Style" w:hAnsi="Bookman Old Style"/>
          <w:sz w:val="24"/>
          <w:szCs w:val="24"/>
        </w:rPr>
        <w:t xml:space="preserve"> </w:t>
      </w:r>
      <w:r w:rsidRPr="00E65025">
        <w:rPr>
          <w:rFonts w:ascii="Bookman Old Style" w:hAnsi="Bookman Old Style"/>
          <w:sz w:val="24"/>
          <w:szCs w:val="24"/>
        </w:rPr>
        <w:t>In particolare, proprio con riguardo alle competenze, l’accresciuta differenziazione a livello regionale dovrà essere accompagnata dal legislatore statale con la conferma e l’ampliamento delle funzioni fondamentali degli enti locali, attraverso una attenta considerazione volta a garantire l’attuazione dei principi di sussidiarietà e di adeguatezza, previsti dall’articolo 118 della Costituzione, in tutte le Regioni.</w:t>
      </w:r>
    </w:p>
    <w:p w14:paraId="2F3898D0" w14:textId="77777777" w:rsidR="00E65025" w:rsidRPr="00E65025" w:rsidRDefault="00E65025" w:rsidP="001D0B66">
      <w:pPr>
        <w:spacing w:after="120" w:line="264" w:lineRule="auto"/>
        <w:jc w:val="both"/>
        <w:rPr>
          <w:rFonts w:ascii="Bookman Old Style" w:hAnsi="Bookman Old Style"/>
          <w:sz w:val="24"/>
          <w:szCs w:val="24"/>
        </w:rPr>
      </w:pPr>
    </w:p>
    <w:p w14:paraId="294B4293" w14:textId="35399718" w:rsidR="00E65025" w:rsidRPr="003840AA" w:rsidRDefault="00E65025" w:rsidP="003840AA">
      <w:pPr>
        <w:pStyle w:val="Titolo3"/>
        <w:ind w:left="0"/>
        <w:rPr>
          <w:i w:val="0"/>
          <w:iCs/>
        </w:rPr>
      </w:pPr>
      <w:bookmarkStart w:id="15" w:name="_Toc11698129"/>
      <w:bookmarkStart w:id="16" w:name="_Toc24483147"/>
      <w:r w:rsidRPr="003840AA">
        <w:rPr>
          <w:i w:val="0"/>
          <w:iCs/>
        </w:rPr>
        <w:t>Proposte di metodo: l’accompagnamento, il monitoraggio e l’implementazione dei processi di regionalismo differenziato</w:t>
      </w:r>
      <w:bookmarkEnd w:id="15"/>
      <w:bookmarkEnd w:id="16"/>
    </w:p>
    <w:p w14:paraId="4745C12B" w14:textId="54B101B2" w:rsidR="00E65025" w:rsidRPr="00E65025" w:rsidRDefault="00E65025" w:rsidP="001D0B66">
      <w:pPr>
        <w:spacing w:after="120" w:line="264" w:lineRule="auto"/>
        <w:jc w:val="both"/>
        <w:rPr>
          <w:rFonts w:ascii="Bookman Old Style" w:eastAsia="Times New Roman" w:hAnsi="Bookman Old Style" w:cs="Times New Roman"/>
          <w:color w:val="000000"/>
          <w:sz w:val="24"/>
          <w:szCs w:val="24"/>
          <w:lang w:eastAsia="it-IT"/>
        </w:rPr>
      </w:pPr>
      <w:r w:rsidRPr="00E65025">
        <w:rPr>
          <w:rFonts w:ascii="Bookman Old Style" w:hAnsi="Bookman Old Style"/>
          <w:sz w:val="24"/>
          <w:szCs w:val="24"/>
        </w:rPr>
        <w:t xml:space="preserve">Alla luce di quanto sopra evidenziato e nel pieno rispetto </w:t>
      </w:r>
      <w:r w:rsidRPr="00E65025">
        <w:rPr>
          <w:rFonts w:ascii="Bookman Old Style" w:eastAsia="Times New Roman" w:hAnsi="Bookman Old Style" w:cs="Times New Roman"/>
          <w:color w:val="000000"/>
          <w:sz w:val="24"/>
          <w:szCs w:val="24"/>
          <w:lang w:eastAsia="it-IT"/>
        </w:rPr>
        <w:t xml:space="preserve">dell’art. 5 Cost. e del </w:t>
      </w:r>
      <w:r w:rsidRPr="00E65025">
        <w:rPr>
          <w:rFonts w:ascii="Bookman Old Style" w:eastAsia="Times New Roman" w:hAnsi="Bookman Old Style" w:cs="Times New Roman"/>
          <w:color w:val="000000"/>
          <w:sz w:val="24"/>
          <w:szCs w:val="24"/>
          <w:u w:val="single"/>
          <w:lang w:eastAsia="it-IT"/>
        </w:rPr>
        <w:t>principio di leale collaborazione fra tutti i livelli di governo,</w:t>
      </w:r>
      <w:r w:rsidRPr="00E65025">
        <w:rPr>
          <w:rFonts w:ascii="Bookman Old Style" w:eastAsia="Times New Roman" w:hAnsi="Bookman Old Style" w:cs="Times New Roman"/>
          <w:color w:val="000000"/>
          <w:sz w:val="24"/>
          <w:szCs w:val="24"/>
          <w:lang w:eastAsia="it-IT"/>
        </w:rPr>
        <w:t xml:space="preserve"> </w:t>
      </w:r>
      <w:r w:rsidRPr="00E65025">
        <w:rPr>
          <w:rFonts w:ascii="Bookman Old Style" w:hAnsi="Bookman Old Style"/>
          <w:sz w:val="24"/>
          <w:szCs w:val="24"/>
        </w:rPr>
        <w:t>la partecipazione degli enti locali, prevista dalla norma costituzionale (“sentiti gli enti locali”), deve tradursi -</w:t>
      </w:r>
      <w:r w:rsidRPr="00E65025">
        <w:rPr>
          <w:rFonts w:ascii="Bookman Old Style" w:eastAsia="Times New Roman" w:hAnsi="Bookman Old Style" w:cs="Times New Roman"/>
          <w:color w:val="000000"/>
          <w:sz w:val="24"/>
          <w:szCs w:val="24"/>
          <w:lang w:eastAsia="it-IT"/>
        </w:rPr>
        <w:t>anche oltre la specifica previsione costituzionale, che certamente costituisce una soglia minima di partecipazione-</w:t>
      </w:r>
      <w:r w:rsidRPr="00E65025">
        <w:rPr>
          <w:rFonts w:ascii="Bookman Old Style" w:hAnsi="Bookman Old Style"/>
          <w:sz w:val="24"/>
          <w:szCs w:val="24"/>
        </w:rPr>
        <w:t xml:space="preserve"> in </w:t>
      </w:r>
      <w:r w:rsidRPr="00E65025">
        <w:rPr>
          <w:rFonts w:ascii="Bookman Old Style" w:hAnsi="Bookman Old Style" w:cs="Times New Roman"/>
          <w:sz w:val="24"/>
          <w:szCs w:val="24"/>
        </w:rPr>
        <w:t>un coinvolgimento attivo degli Enti locali in tutto il processo:</w:t>
      </w:r>
      <w:r w:rsidR="00CE0CFE">
        <w:rPr>
          <w:rFonts w:ascii="Bookman Old Style" w:hAnsi="Bookman Old Style" w:cs="Times New Roman"/>
          <w:sz w:val="24"/>
          <w:szCs w:val="24"/>
        </w:rPr>
        <w:t xml:space="preserve"> </w:t>
      </w:r>
      <w:r w:rsidRPr="00E65025">
        <w:rPr>
          <w:rFonts w:ascii="Bookman Old Style" w:hAnsi="Bookman Old Style" w:cs="Times New Roman"/>
          <w:sz w:val="24"/>
          <w:szCs w:val="24"/>
        </w:rPr>
        <w:t>dalla fase di elaborazione a quella di attuazione delle forme e condizioni particolari di autonomia, nonché a quella di monitoraggio e verifica delle esperienze progressivamente realizzate.</w:t>
      </w:r>
      <w:r w:rsidRPr="00E65025">
        <w:rPr>
          <w:rFonts w:ascii="Bookman Old Style" w:eastAsia="Times New Roman" w:hAnsi="Bookman Old Style" w:cs="Times New Roman"/>
          <w:color w:val="000000"/>
          <w:sz w:val="24"/>
          <w:szCs w:val="24"/>
          <w:lang w:eastAsia="it-IT"/>
        </w:rPr>
        <w:t xml:space="preserve"> </w:t>
      </w:r>
    </w:p>
    <w:p w14:paraId="5A105833" w14:textId="77777777" w:rsidR="00E65025" w:rsidRPr="00E65025" w:rsidRDefault="00E65025" w:rsidP="001D0B66">
      <w:pPr>
        <w:spacing w:after="120" w:line="264" w:lineRule="auto"/>
        <w:jc w:val="both"/>
        <w:rPr>
          <w:rFonts w:ascii="Bookman Old Style" w:hAnsi="Bookman Old Style" w:cs="Times New Roman"/>
          <w:sz w:val="24"/>
          <w:szCs w:val="24"/>
        </w:rPr>
      </w:pPr>
      <w:r w:rsidRPr="00E65025">
        <w:rPr>
          <w:rFonts w:ascii="Bookman Old Style" w:eastAsia="Times New Roman" w:hAnsi="Bookman Old Style" w:cs="Times New Roman"/>
          <w:color w:val="000000"/>
          <w:sz w:val="24"/>
          <w:szCs w:val="24"/>
          <w:lang w:eastAsia="it-IT"/>
        </w:rPr>
        <w:t xml:space="preserve">In particolare, </w:t>
      </w:r>
      <w:r w:rsidRPr="00E65025">
        <w:rPr>
          <w:rFonts w:ascii="Bookman Old Style" w:hAnsi="Bookman Old Style" w:cs="Times New Roman"/>
          <w:sz w:val="24"/>
          <w:szCs w:val="24"/>
        </w:rPr>
        <w:t>distinguiamo tre momenti.</w:t>
      </w:r>
    </w:p>
    <w:p w14:paraId="4014849A" w14:textId="44EDDCD1" w:rsidR="00E65025" w:rsidRPr="00E65025" w:rsidRDefault="00E65025" w:rsidP="001D0B66">
      <w:pPr>
        <w:pStyle w:val="Paragrafoelenco"/>
        <w:numPr>
          <w:ilvl w:val="0"/>
          <w:numId w:val="8"/>
        </w:numPr>
        <w:spacing w:after="120" w:line="264" w:lineRule="auto"/>
        <w:contextualSpacing w:val="0"/>
        <w:jc w:val="both"/>
        <w:rPr>
          <w:rFonts w:ascii="Bookman Old Style" w:hAnsi="Bookman Old Style" w:cs="Times New Roman"/>
          <w:sz w:val="24"/>
          <w:szCs w:val="24"/>
        </w:rPr>
      </w:pPr>
      <w:r w:rsidRPr="00E65025">
        <w:rPr>
          <w:rFonts w:ascii="Bookman Old Style" w:hAnsi="Bookman Old Style" w:cs="Times New Roman"/>
          <w:sz w:val="24"/>
          <w:szCs w:val="24"/>
          <w:u w:val="single"/>
        </w:rPr>
        <w:t>L’interlocuzione tra la Regione ed i rispettivi Enti Locali</w:t>
      </w:r>
      <w:r w:rsidRPr="00E65025">
        <w:rPr>
          <w:rFonts w:ascii="Bookman Old Style" w:hAnsi="Bookman Old Style" w:cs="Times New Roman"/>
          <w:sz w:val="24"/>
          <w:szCs w:val="24"/>
        </w:rPr>
        <w:t>.</w:t>
      </w:r>
      <w:r w:rsidR="00CE0CFE">
        <w:rPr>
          <w:rFonts w:ascii="Bookman Old Style" w:hAnsi="Bookman Old Style" w:cs="Times New Roman"/>
          <w:sz w:val="24"/>
          <w:szCs w:val="24"/>
        </w:rPr>
        <w:t xml:space="preserve"> </w:t>
      </w:r>
      <w:r w:rsidRPr="00E65025">
        <w:rPr>
          <w:rFonts w:ascii="Bookman Old Style" w:hAnsi="Bookman Old Style"/>
          <w:sz w:val="24"/>
          <w:szCs w:val="24"/>
        </w:rPr>
        <w:t>Un ruolo chiave dovrebbe essere svolto dal Consiglio delle autonomie locali, “organo di consultazione fra la regione e gli enti locali” secondo quanto previsto dall’art.123 Cost. Oltre alla fase dinnanzi al CAL, la Regione opportunamente dovrebbe ampliare le forme di partecipazione e raccordo con le Associazioni di rappresentanza degli EE.LL. a livello regionale (ANCI e UPI). Dal punto di vista temporale, s</w:t>
      </w:r>
      <w:r w:rsidRPr="00E65025">
        <w:rPr>
          <w:rFonts w:ascii="Bookman Old Style" w:hAnsi="Bookman Old Style" w:cs="Times New Roman"/>
          <w:sz w:val="24"/>
          <w:szCs w:val="24"/>
        </w:rPr>
        <w:t>e è necessario che</w:t>
      </w:r>
      <w:r w:rsidRPr="00E65025">
        <w:rPr>
          <w:rFonts w:ascii="Bookman Old Style" w:hAnsi="Bookman Old Style"/>
          <w:sz w:val="24"/>
          <w:szCs w:val="24"/>
        </w:rPr>
        <w:t xml:space="preserve"> gli enti locali siano sentiti prima della formulazione della proposta, si ritiene tuttavia indispensabile il loro coinvolgimento anche in una fase più avanzata della procedura, anche dopo il raggiungimento dell’intesa, fino alla approvazione della legge e degli ulteriori provvedimenti attuativi. Occorre altresì che gli enti Locali siano protagonisti di tutto il delicatissimo percorso - legislativo, regolamentare - successivo alla definizione della legge statale che riconosce le “</w:t>
      </w:r>
      <w:r w:rsidRPr="00E65025">
        <w:rPr>
          <w:rFonts w:ascii="Bookman Old Style" w:eastAsia="Times New Roman" w:hAnsi="Bookman Old Style" w:cs="Times New Roman"/>
          <w:color w:val="000000"/>
          <w:sz w:val="24"/>
          <w:szCs w:val="24"/>
          <w:lang w:eastAsia="it-IT"/>
        </w:rPr>
        <w:t xml:space="preserve">ulteriori forme e condizioni particolari di autonomia” alla Regione, anche </w:t>
      </w:r>
      <w:r w:rsidRPr="00E65025">
        <w:rPr>
          <w:rFonts w:ascii="Bookman Old Style" w:hAnsi="Bookman Old Style"/>
          <w:sz w:val="24"/>
          <w:szCs w:val="24"/>
        </w:rPr>
        <w:t>al fine di garantire che, in ogni caso, siano riconosciute agli enti locali tutte le risorse finanziarie e strumentali necessarie a svolgere le funzioni loro eventualmente attribuite in esito al percorso avviato.</w:t>
      </w:r>
    </w:p>
    <w:p w14:paraId="6E2FED3F" w14:textId="5276725E" w:rsidR="00E65025" w:rsidRPr="00E65025" w:rsidRDefault="00E65025" w:rsidP="001D0B66">
      <w:pPr>
        <w:pStyle w:val="Paragrafoelenco"/>
        <w:numPr>
          <w:ilvl w:val="0"/>
          <w:numId w:val="8"/>
        </w:numPr>
        <w:spacing w:after="120" w:line="264" w:lineRule="auto"/>
        <w:contextualSpacing w:val="0"/>
        <w:jc w:val="both"/>
        <w:rPr>
          <w:rFonts w:ascii="Bookman Old Style" w:hAnsi="Bookman Old Style" w:cs="Times New Roman"/>
          <w:sz w:val="24"/>
          <w:szCs w:val="24"/>
        </w:rPr>
      </w:pPr>
      <w:r w:rsidRPr="00E65025">
        <w:rPr>
          <w:rFonts w:ascii="Bookman Old Style" w:hAnsi="Bookman Old Style"/>
          <w:sz w:val="24"/>
          <w:szCs w:val="24"/>
          <w:u w:val="single"/>
        </w:rPr>
        <w:t>Il coordinamento a livello governativo</w:t>
      </w:r>
      <w:r w:rsidRPr="00E65025">
        <w:rPr>
          <w:rFonts w:ascii="Bookman Old Style" w:hAnsi="Bookman Old Style"/>
          <w:sz w:val="24"/>
          <w:szCs w:val="24"/>
        </w:rPr>
        <w:t xml:space="preserve">. Alla luce della grande rilevanza </w:t>
      </w:r>
      <w:proofErr w:type="spellStart"/>
      <w:r w:rsidRPr="00E65025">
        <w:rPr>
          <w:rFonts w:ascii="Bookman Old Style" w:hAnsi="Bookman Old Style"/>
          <w:sz w:val="24"/>
          <w:szCs w:val="24"/>
        </w:rPr>
        <w:t>degli</w:t>
      </w:r>
      <w:r w:rsidR="00820A79">
        <w:rPr>
          <w:rFonts w:ascii="Bookman Old Style" w:hAnsi="Bookman Old Style"/>
          <w:sz w:val="24"/>
          <w:szCs w:val="24"/>
        </w:rPr>
        <w:t>ì</w:t>
      </w:r>
      <w:r w:rsidRPr="00E65025">
        <w:rPr>
          <w:rFonts w:ascii="Bookman Old Style" w:hAnsi="Bookman Old Style"/>
          <w:sz w:val="24"/>
          <w:szCs w:val="24"/>
        </w:rPr>
        <w:t>ffetti</w:t>
      </w:r>
      <w:proofErr w:type="spellEnd"/>
      <w:r w:rsidRPr="00E65025">
        <w:rPr>
          <w:rFonts w:ascii="Bookman Old Style" w:hAnsi="Bookman Old Style"/>
          <w:sz w:val="24"/>
          <w:szCs w:val="24"/>
        </w:rPr>
        <w:t xml:space="preserve"> sul complessivo sistema delle autonomie locali, è auspicabile che </w:t>
      </w:r>
      <w:r w:rsidRPr="00E65025">
        <w:rPr>
          <w:rFonts w:ascii="Bookman Old Style" w:hAnsi="Bookman Old Style"/>
          <w:sz w:val="24"/>
          <w:szCs w:val="24"/>
        </w:rPr>
        <w:lastRenderedPageBreak/>
        <w:t>sia istituita nell’ambito della Conferenza unificata una autorevole ed efficace Cabina di regia che coinvolga tutte le istituzioni della Repubblica, l’ANCI e l’UPI, con il compito di verificare e monitorare in modo puntuale le iniziative, le intese e l’iter delle leggi relative all’attuazione dell’articolo 116, comma 3, della Costituzione, nel rispetto del principio di leale collaborazione e delle disposizioni del titolo V, parte II, della Costituzione.</w:t>
      </w:r>
      <w:r w:rsidR="00CE0CFE">
        <w:rPr>
          <w:rFonts w:ascii="Bookman Old Style" w:hAnsi="Bookman Old Style"/>
          <w:sz w:val="24"/>
          <w:szCs w:val="24"/>
        </w:rPr>
        <w:t xml:space="preserve"> </w:t>
      </w:r>
      <w:r w:rsidRPr="00E65025">
        <w:rPr>
          <w:rFonts w:ascii="Bookman Old Style" w:hAnsi="Bookman Old Style"/>
          <w:sz w:val="24"/>
          <w:szCs w:val="24"/>
        </w:rPr>
        <w:t>Così come alla Cabina di regia andrebbe riconosciuto, per il seguito, un ruolo permanente relativamente al monitoraggio e alla verifica delle esperienze che andranno concretizzandosi nelle differenti realtà regionali</w:t>
      </w:r>
      <w:r w:rsidRPr="00E65025">
        <w:rPr>
          <w:rFonts w:ascii="Bookman Old Style" w:hAnsi="Bookman Old Style" w:cs="Times New Roman"/>
          <w:sz w:val="24"/>
          <w:szCs w:val="24"/>
        </w:rPr>
        <w:t>.</w:t>
      </w:r>
    </w:p>
    <w:p w14:paraId="3FAD79E8" w14:textId="2F674DAC" w:rsidR="00E65025" w:rsidRPr="00E65025" w:rsidRDefault="00E65025" w:rsidP="001D0B66">
      <w:pPr>
        <w:pStyle w:val="Paragrafoelenco"/>
        <w:numPr>
          <w:ilvl w:val="0"/>
          <w:numId w:val="8"/>
        </w:numPr>
        <w:spacing w:after="120" w:line="264" w:lineRule="auto"/>
        <w:contextualSpacing w:val="0"/>
        <w:jc w:val="both"/>
        <w:rPr>
          <w:rFonts w:ascii="Bookman Old Style" w:hAnsi="Bookman Old Style"/>
          <w:sz w:val="24"/>
          <w:szCs w:val="24"/>
        </w:rPr>
      </w:pPr>
      <w:r w:rsidRPr="00E65025">
        <w:rPr>
          <w:rFonts w:ascii="Bookman Old Style" w:hAnsi="Bookman Old Style"/>
          <w:sz w:val="24"/>
          <w:szCs w:val="24"/>
          <w:u w:val="single"/>
        </w:rPr>
        <w:t>Il coordinamento a livello parlamentare</w:t>
      </w:r>
      <w:r w:rsidRPr="00E65025">
        <w:rPr>
          <w:rFonts w:ascii="Bookman Old Style" w:hAnsi="Bookman Old Style"/>
          <w:sz w:val="24"/>
          <w:szCs w:val="24"/>
        </w:rPr>
        <w:t xml:space="preserve">. Sempre sul piano del metodo, infine, è opportuno garantire una piena circolarità tra Parlamento, Regioni ed Autonomie locali nell’iter di esame e approvazione delle leggi relative all’attuazione dell’art. 116, c.3 Cost. </w:t>
      </w:r>
      <w:r w:rsidR="001D0B66">
        <w:rPr>
          <w:rFonts w:ascii="Bookman Old Style" w:hAnsi="Bookman Old Style"/>
          <w:sz w:val="24"/>
          <w:szCs w:val="24"/>
        </w:rPr>
        <w:t xml:space="preserve">È </w:t>
      </w:r>
      <w:r w:rsidRPr="00E65025">
        <w:rPr>
          <w:rFonts w:ascii="Bookman Old Style" w:hAnsi="Bookman Old Style"/>
          <w:sz w:val="24"/>
          <w:szCs w:val="24"/>
        </w:rPr>
        <w:t>pertanto auspicabile che, con il concreto avvio del processo di attuazione del regionalismo differenziato, si dia vita ad un soggetto ad hoc nell’ordinamento parlamentare con il compito di cooperare e vigilare ovvero giungere quanto prima alla integrazione della Commissione parlamentare per le questioni regionali con i rappresentanti di Regioni, Città metropolitane, Province, e Comuni, come previsto dall’articolo 11 della Legge Costituzionale 3/2001.</w:t>
      </w:r>
    </w:p>
    <w:p w14:paraId="55B2C2A2" w14:textId="77777777" w:rsidR="00E65025" w:rsidRPr="00E65025" w:rsidRDefault="00E65025" w:rsidP="001D0B66">
      <w:pPr>
        <w:spacing w:after="120" w:line="264" w:lineRule="auto"/>
        <w:jc w:val="both"/>
        <w:rPr>
          <w:rFonts w:ascii="Bookman Old Style" w:hAnsi="Bookman Old Style"/>
          <w:sz w:val="24"/>
          <w:szCs w:val="24"/>
        </w:rPr>
      </w:pPr>
    </w:p>
    <w:sectPr w:rsidR="00E65025" w:rsidRPr="00E65025" w:rsidSect="004B09BA">
      <w:headerReference w:type="default" r:id="rId12"/>
      <w:footerReference w:type="default" r:id="rId13"/>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0DA935" w14:textId="77777777" w:rsidR="00113620" w:rsidRDefault="00113620" w:rsidP="00706E93">
      <w:pPr>
        <w:spacing w:after="0" w:line="240" w:lineRule="auto"/>
      </w:pPr>
      <w:r>
        <w:separator/>
      </w:r>
    </w:p>
  </w:endnote>
  <w:endnote w:type="continuationSeparator" w:id="0">
    <w:p w14:paraId="28509C25" w14:textId="77777777" w:rsidR="00113620" w:rsidRDefault="00113620" w:rsidP="00706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13915106"/>
      <w:docPartObj>
        <w:docPartGallery w:val="Page Numbers (Bottom of Page)"/>
        <w:docPartUnique/>
      </w:docPartObj>
    </w:sdtPr>
    <w:sdtEndPr/>
    <w:sdtContent>
      <w:p w14:paraId="1929FE4A" w14:textId="77777777" w:rsidR="0080304E" w:rsidRDefault="0080304E">
        <w:pPr>
          <w:pStyle w:val="Pidipagina"/>
          <w:jc w:val="center"/>
        </w:pPr>
        <w:r>
          <w:fldChar w:fldCharType="begin"/>
        </w:r>
        <w:r>
          <w:instrText>PAGE   \* MERGEFORMAT</w:instrText>
        </w:r>
        <w:r>
          <w:fldChar w:fldCharType="separate"/>
        </w:r>
        <w:r w:rsidR="000F03CB">
          <w:rPr>
            <w:noProof/>
          </w:rPr>
          <w:t>2</w:t>
        </w:r>
        <w:r>
          <w:fldChar w:fldCharType="end"/>
        </w:r>
      </w:p>
    </w:sdtContent>
  </w:sdt>
  <w:p w14:paraId="7B0D0F02" w14:textId="77777777" w:rsidR="0080304E" w:rsidRDefault="0080304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8ED5F3" w14:textId="77777777" w:rsidR="00113620" w:rsidRDefault="00113620" w:rsidP="00706E93">
      <w:pPr>
        <w:spacing w:after="0" w:line="240" w:lineRule="auto"/>
      </w:pPr>
      <w:r>
        <w:separator/>
      </w:r>
    </w:p>
  </w:footnote>
  <w:footnote w:type="continuationSeparator" w:id="0">
    <w:p w14:paraId="7E5C3C48" w14:textId="77777777" w:rsidR="00113620" w:rsidRDefault="00113620" w:rsidP="00706E93">
      <w:pPr>
        <w:spacing w:after="0" w:line="240" w:lineRule="auto"/>
      </w:pPr>
      <w:r>
        <w:continuationSeparator/>
      </w:r>
    </w:p>
  </w:footnote>
  <w:footnote w:id="1">
    <w:p w14:paraId="38BB29BC" w14:textId="77777777" w:rsidR="006D36DE" w:rsidRDefault="006D36DE" w:rsidP="00366F20">
      <w:pPr>
        <w:pStyle w:val="Testonotaapidipagina"/>
        <w:ind w:firstLine="0"/>
      </w:pPr>
      <w:r>
        <w:rPr>
          <w:rStyle w:val="Rimandonotaapidipagina"/>
        </w:rPr>
        <w:footnoteRef/>
      </w:r>
      <w:r>
        <w:t xml:space="preserve"> </w:t>
      </w:r>
      <w:r w:rsidRPr="00C04B99">
        <w:rPr>
          <w:rFonts w:ascii="Bookman Old Style" w:hAnsi="Bookman Old Style"/>
        </w:rPr>
        <w:t>Oltre all’Italia il tributo immobiliare locale è presente in Austria, Bulgaria, Francia, Gran Bretagna, Irlanda, Lituania, Estonia, Lettonia, Polonia, Portogallo, Romania, Slovacchia, Slovenia, Ungheria. A questi si aggiungono Belgio, Germania, Spagna, dove però un</w:t>
      </w:r>
      <w:r>
        <w:rPr>
          <w:rFonts w:ascii="Bookman Old Style" w:hAnsi="Bookman Old Style"/>
        </w:rPr>
        <w:t>a</w:t>
      </w:r>
      <w:r w:rsidRPr="00C04B99">
        <w:rPr>
          <w:rFonts w:ascii="Bookman Old Style" w:hAnsi="Bookman Old Style"/>
        </w:rPr>
        <w:t xml:space="preserve"> quota del tributo è di spettanza regionale.</w:t>
      </w:r>
      <w:r>
        <w:t xml:space="preserve"> </w:t>
      </w:r>
    </w:p>
  </w:footnote>
  <w:footnote w:id="2">
    <w:p w14:paraId="7F3CD720" w14:textId="18098EFB" w:rsidR="006D36DE" w:rsidRPr="005F1F34" w:rsidRDefault="006D36DE" w:rsidP="00366F20">
      <w:pPr>
        <w:pStyle w:val="Testonotaapidipagina"/>
        <w:ind w:firstLine="0"/>
        <w:rPr>
          <w:rFonts w:ascii="Bookman Old Style" w:hAnsi="Bookman Old Style"/>
          <w:iCs/>
          <w:color w:val="000000" w:themeColor="text1"/>
        </w:rPr>
      </w:pPr>
      <w:r>
        <w:rPr>
          <w:rStyle w:val="Rimandonotaapidipagina"/>
        </w:rPr>
        <w:footnoteRef/>
      </w:r>
      <w:r>
        <w:t xml:space="preserve"> </w:t>
      </w:r>
      <w:r w:rsidRPr="00B6128E">
        <w:rPr>
          <w:rFonts w:ascii="Bookman Old Style" w:hAnsi="Bookman Old Style"/>
          <w:color w:val="000000" w:themeColor="text1"/>
          <w:szCs w:val="22"/>
        </w:rPr>
        <w:t xml:space="preserve">In particolare, </w:t>
      </w:r>
      <w:r>
        <w:rPr>
          <w:rFonts w:ascii="Bookman Old Style" w:hAnsi="Bookman Old Style"/>
          <w:color w:val="000000" w:themeColor="text1"/>
          <w:szCs w:val="22"/>
        </w:rPr>
        <w:t>il co. 681 della legge di stabilità 2014 prevede: “</w:t>
      </w:r>
      <w:r w:rsidRPr="00B6128E">
        <w:rPr>
          <w:rFonts w:ascii="Bookman Old Style" w:hAnsi="Bookman Old Style"/>
          <w:i/>
          <w:color w:val="000000"/>
        </w:rPr>
        <w:t xml:space="preserve">L'occupante versa la TASI nella misura, stabilita dal comune nel regolamento, compresa fra il 10 e il 30 per cento dell'ammontare complessivo della TASI, calcolato applicando l'aliquota di </w:t>
      </w:r>
      <w:r w:rsidRPr="00B6128E">
        <w:rPr>
          <w:rFonts w:ascii="Bookman Old Style" w:hAnsi="Bookman Old Style"/>
          <w:i/>
          <w:color w:val="000000" w:themeColor="text1"/>
        </w:rPr>
        <w:t>cui ai </w:t>
      </w:r>
      <w:r w:rsidRPr="00B6128E">
        <w:rPr>
          <w:rStyle w:val="linkneltesto"/>
          <w:rFonts w:ascii="Bookman Old Style" w:hAnsi="Bookman Old Style"/>
          <w:i/>
          <w:iCs/>
          <w:color w:val="000000" w:themeColor="text1"/>
        </w:rPr>
        <w:t>commi 676</w:t>
      </w:r>
      <w:r w:rsidRPr="00B6128E">
        <w:rPr>
          <w:rFonts w:ascii="Bookman Old Style" w:hAnsi="Bookman Old Style"/>
          <w:i/>
          <w:color w:val="000000" w:themeColor="text1"/>
        </w:rPr>
        <w:t> e </w:t>
      </w:r>
      <w:r w:rsidRPr="00B6128E">
        <w:rPr>
          <w:rStyle w:val="linkneltesto"/>
          <w:rFonts w:ascii="Bookman Old Style" w:hAnsi="Bookman Old Style"/>
          <w:i/>
          <w:iCs/>
          <w:color w:val="000000" w:themeColor="text1"/>
        </w:rPr>
        <w:t>677</w:t>
      </w:r>
      <w:r w:rsidRPr="00B6128E">
        <w:rPr>
          <w:rFonts w:ascii="Bookman Old Style" w:hAnsi="Bookman Old Style"/>
          <w:i/>
          <w:color w:val="000000" w:themeColor="text1"/>
        </w:rPr>
        <w:t xml:space="preserve">. </w:t>
      </w:r>
      <w:r w:rsidRPr="00B6128E">
        <w:rPr>
          <w:rFonts w:ascii="Bookman Old Style" w:hAnsi="Bookman Old Style"/>
          <w:i/>
          <w:color w:val="000000"/>
        </w:rPr>
        <w:t>La restante parte è corrisposta dal titolare del diritto reale sull'unità immobiliare</w:t>
      </w:r>
      <w:r>
        <w:rPr>
          <w:rFonts w:ascii="Bookman Old Style" w:hAnsi="Bookman Old Style"/>
          <w:i/>
          <w:color w:val="000000"/>
        </w:rPr>
        <w:t>”</w:t>
      </w:r>
      <w:r w:rsidRPr="00B6128E">
        <w:rPr>
          <w:rFonts w:ascii="Bookman Old Style" w:hAnsi="Bookman Old Style"/>
          <w:i/>
          <w:color w:val="000000"/>
        </w:rPr>
        <w:t>. </w:t>
      </w:r>
      <w:r w:rsidR="005F1F34">
        <w:rPr>
          <w:rFonts w:ascii="Bookman Old Style" w:hAnsi="Bookman Old Style"/>
          <w:iCs/>
          <w:color w:val="000000"/>
        </w:rPr>
        <w:t xml:space="preserve">Il gettito attualmente richiesto agli inquilini è valutato da Mef in circa 14,2 milioni di euro. </w:t>
      </w:r>
    </w:p>
    <w:p w14:paraId="5C15F1EA" w14:textId="77777777" w:rsidR="006D36DE" w:rsidRDefault="006D36DE" w:rsidP="006D36DE">
      <w:pPr>
        <w:pStyle w:val="Testonotaapidipagina"/>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CC78B" w14:textId="77777777" w:rsidR="0080304E" w:rsidRDefault="0080304E">
    <w:pPr>
      <w:pStyle w:val="Intestazione"/>
    </w:pPr>
  </w:p>
  <w:p w14:paraId="48E01AE7" w14:textId="77777777" w:rsidR="0080304E" w:rsidRDefault="0080304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47EE2"/>
    <w:multiLevelType w:val="hybridMultilevel"/>
    <w:tmpl w:val="CB6A4BD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65650B0"/>
    <w:multiLevelType w:val="hybridMultilevel"/>
    <w:tmpl w:val="125CD6E4"/>
    <w:lvl w:ilvl="0" w:tplc="0410000F">
      <w:start w:val="1"/>
      <w:numFmt w:val="decimal"/>
      <w:lvlText w:val="%1."/>
      <w:lvlJc w:val="left"/>
      <w:pPr>
        <w:ind w:left="1068" w:hanging="360"/>
      </w:pPr>
    </w:lvl>
    <w:lvl w:ilvl="1" w:tplc="04100019">
      <w:start w:val="1"/>
      <w:numFmt w:val="lowerLetter"/>
      <w:lvlText w:val="%2."/>
      <w:lvlJc w:val="left"/>
      <w:pPr>
        <w:ind w:left="1788" w:hanging="360"/>
      </w:pPr>
    </w:lvl>
    <w:lvl w:ilvl="2" w:tplc="0410001B">
      <w:start w:val="1"/>
      <w:numFmt w:val="lowerRoman"/>
      <w:lvlText w:val="%3."/>
      <w:lvlJc w:val="right"/>
      <w:pPr>
        <w:ind w:left="2508" w:hanging="180"/>
      </w:pPr>
    </w:lvl>
    <w:lvl w:ilvl="3" w:tplc="0410000F">
      <w:start w:val="1"/>
      <w:numFmt w:val="decimal"/>
      <w:lvlText w:val="%4."/>
      <w:lvlJc w:val="left"/>
      <w:pPr>
        <w:ind w:left="3228" w:hanging="360"/>
      </w:pPr>
    </w:lvl>
    <w:lvl w:ilvl="4" w:tplc="04100019">
      <w:start w:val="1"/>
      <w:numFmt w:val="lowerLetter"/>
      <w:lvlText w:val="%5."/>
      <w:lvlJc w:val="left"/>
      <w:pPr>
        <w:ind w:left="3948" w:hanging="360"/>
      </w:pPr>
    </w:lvl>
    <w:lvl w:ilvl="5" w:tplc="0410001B">
      <w:start w:val="1"/>
      <w:numFmt w:val="lowerRoman"/>
      <w:lvlText w:val="%6."/>
      <w:lvlJc w:val="right"/>
      <w:pPr>
        <w:ind w:left="4668" w:hanging="180"/>
      </w:pPr>
    </w:lvl>
    <w:lvl w:ilvl="6" w:tplc="0410000F">
      <w:start w:val="1"/>
      <w:numFmt w:val="decimal"/>
      <w:lvlText w:val="%7."/>
      <w:lvlJc w:val="left"/>
      <w:pPr>
        <w:ind w:left="5388" w:hanging="360"/>
      </w:pPr>
    </w:lvl>
    <w:lvl w:ilvl="7" w:tplc="04100019">
      <w:start w:val="1"/>
      <w:numFmt w:val="lowerLetter"/>
      <w:lvlText w:val="%8."/>
      <w:lvlJc w:val="left"/>
      <w:pPr>
        <w:ind w:left="6108" w:hanging="360"/>
      </w:pPr>
    </w:lvl>
    <w:lvl w:ilvl="8" w:tplc="0410001B">
      <w:start w:val="1"/>
      <w:numFmt w:val="lowerRoman"/>
      <w:lvlText w:val="%9."/>
      <w:lvlJc w:val="right"/>
      <w:pPr>
        <w:ind w:left="6828" w:hanging="180"/>
      </w:pPr>
    </w:lvl>
  </w:abstractNum>
  <w:abstractNum w:abstractNumId="2" w15:restartNumberingAfterBreak="0">
    <w:nsid w:val="11B047D0"/>
    <w:multiLevelType w:val="hybridMultilevel"/>
    <w:tmpl w:val="5ED6A48A"/>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 w15:restartNumberingAfterBreak="0">
    <w:nsid w:val="2D01489A"/>
    <w:multiLevelType w:val="hybridMultilevel"/>
    <w:tmpl w:val="DC3445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0C65E87"/>
    <w:multiLevelType w:val="hybridMultilevel"/>
    <w:tmpl w:val="F59611A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39054115"/>
    <w:multiLevelType w:val="hybridMultilevel"/>
    <w:tmpl w:val="62B42256"/>
    <w:lvl w:ilvl="0" w:tplc="0F00F6E2">
      <w:start w:val="1"/>
      <w:numFmt w:val="decimal"/>
      <w:lvlText w:val="%1."/>
      <w:lvlJc w:val="left"/>
      <w:pPr>
        <w:ind w:left="360" w:hanging="360"/>
      </w:pPr>
      <w:rPr>
        <w:rFonts w:hint="default"/>
      </w:rPr>
    </w:lvl>
    <w:lvl w:ilvl="1" w:tplc="8146C2D4">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3A41032E"/>
    <w:multiLevelType w:val="hybridMultilevel"/>
    <w:tmpl w:val="BA1EA808"/>
    <w:lvl w:ilvl="0" w:tplc="138AFC54">
      <w:start w:val="3"/>
      <w:numFmt w:val="decimal"/>
      <w:lvlText w:val="%1."/>
      <w:lvlJc w:val="left"/>
      <w:pPr>
        <w:ind w:left="720" w:hanging="360"/>
      </w:pPr>
      <w:rPr>
        <w:u w:val="single"/>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7" w15:restartNumberingAfterBreak="0">
    <w:nsid w:val="4FE37BC0"/>
    <w:multiLevelType w:val="hybridMultilevel"/>
    <w:tmpl w:val="B9322F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33C65FF"/>
    <w:multiLevelType w:val="multilevel"/>
    <w:tmpl w:val="B2980EB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5B60109"/>
    <w:multiLevelType w:val="hybridMultilevel"/>
    <w:tmpl w:val="98A8C906"/>
    <w:lvl w:ilvl="0" w:tplc="1772D87C">
      <w:numFmt w:val="bullet"/>
      <w:lvlText w:val="-"/>
      <w:lvlJc w:val="left"/>
      <w:pPr>
        <w:ind w:left="405" w:hanging="360"/>
      </w:pPr>
      <w:rPr>
        <w:rFonts w:ascii="Cambria" w:eastAsiaTheme="minorHAnsi" w:hAnsi="Cambria" w:cstheme="minorBidi" w:hint="default"/>
      </w:rPr>
    </w:lvl>
    <w:lvl w:ilvl="1" w:tplc="04100003">
      <w:start w:val="1"/>
      <w:numFmt w:val="bullet"/>
      <w:lvlText w:val="o"/>
      <w:lvlJc w:val="left"/>
      <w:pPr>
        <w:ind w:left="1125" w:hanging="360"/>
      </w:pPr>
      <w:rPr>
        <w:rFonts w:ascii="Courier New" w:hAnsi="Courier New" w:cs="Courier New" w:hint="default"/>
      </w:rPr>
    </w:lvl>
    <w:lvl w:ilvl="2" w:tplc="04100005">
      <w:start w:val="1"/>
      <w:numFmt w:val="bullet"/>
      <w:lvlText w:val=""/>
      <w:lvlJc w:val="left"/>
      <w:pPr>
        <w:ind w:left="1845" w:hanging="360"/>
      </w:pPr>
      <w:rPr>
        <w:rFonts w:ascii="Wingdings" w:hAnsi="Wingdings" w:hint="default"/>
      </w:rPr>
    </w:lvl>
    <w:lvl w:ilvl="3" w:tplc="04100001">
      <w:start w:val="1"/>
      <w:numFmt w:val="bullet"/>
      <w:lvlText w:val=""/>
      <w:lvlJc w:val="left"/>
      <w:pPr>
        <w:ind w:left="2565" w:hanging="360"/>
      </w:pPr>
      <w:rPr>
        <w:rFonts w:ascii="Symbol" w:hAnsi="Symbol" w:hint="default"/>
      </w:rPr>
    </w:lvl>
    <w:lvl w:ilvl="4" w:tplc="04100003">
      <w:start w:val="1"/>
      <w:numFmt w:val="bullet"/>
      <w:lvlText w:val="o"/>
      <w:lvlJc w:val="left"/>
      <w:pPr>
        <w:ind w:left="3285" w:hanging="360"/>
      </w:pPr>
      <w:rPr>
        <w:rFonts w:ascii="Courier New" w:hAnsi="Courier New" w:cs="Courier New" w:hint="default"/>
      </w:rPr>
    </w:lvl>
    <w:lvl w:ilvl="5" w:tplc="04100005">
      <w:start w:val="1"/>
      <w:numFmt w:val="bullet"/>
      <w:lvlText w:val=""/>
      <w:lvlJc w:val="left"/>
      <w:pPr>
        <w:ind w:left="4005" w:hanging="360"/>
      </w:pPr>
      <w:rPr>
        <w:rFonts w:ascii="Wingdings" w:hAnsi="Wingdings" w:hint="default"/>
      </w:rPr>
    </w:lvl>
    <w:lvl w:ilvl="6" w:tplc="04100001">
      <w:start w:val="1"/>
      <w:numFmt w:val="bullet"/>
      <w:lvlText w:val=""/>
      <w:lvlJc w:val="left"/>
      <w:pPr>
        <w:ind w:left="4725" w:hanging="360"/>
      </w:pPr>
      <w:rPr>
        <w:rFonts w:ascii="Symbol" w:hAnsi="Symbol" w:hint="default"/>
      </w:rPr>
    </w:lvl>
    <w:lvl w:ilvl="7" w:tplc="04100003">
      <w:start w:val="1"/>
      <w:numFmt w:val="bullet"/>
      <w:lvlText w:val="o"/>
      <w:lvlJc w:val="left"/>
      <w:pPr>
        <w:ind w:left="5445" w:hanging="360"/>
      </w:pPr>
      <w:rPr>
        <w:rFonts w:ascii="Courier New" w:hAnsi="Courier New" w:cs="Courier New" w:hint="default"/>
      </w:rPr>
    </w:lvl>
    <w:lvl w:ilvl="8" w:tplc="04100005">
      <w:start w:val="1"/>
      <w:numFmt w:val="bullet"/>
      <w:lvlText w:val=""/>
      <w:lvlJc w:val="left"/>
      <w:pPr>
        <w:ind w:left="6165" w:hanging="360"/>
      </w:pPr>
      <w:rPr>
        <w:rFonts w:ascii="Wingdings" w:hAnsi="Wingdings" w:hint="default"/>
      </w:rPr>
    </w:lvl>
  </w:abstractNum>
  <w:abstractNum w:abstractNumId="10" w15:restartNumberingAfterBreak="0">
    <w:nsid w:val="5E565E07"/>
    <w:multiLevelType w:val="hybridMultilevel"/>
    <w:tmpl w:val="F7B0D07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1" w15:restartNumberingAfterBreak="0">
    <w:nsid w:val="6CE15040"/>
    <w:multiLevelType w:val="hybridMultilevel"/>
    <w:tmpl w:val="43E034DC"/>
    <w:lvl w:ilvl="0" w:tplc="DA687224">
      <w:start w:val="4"/>
      <w:numFmt w:val="bullet"/>
      <w:lvlText w:val="-"/>
      <w:lvlJc w:val="left"/>
      <w:pPr>
        <w:ind w:left="720" w:hanging="360"/>
      </w:pPr>
      <w:rPr>
        <w:rFonts w:ascii="Bookman Old Style" w:eastAsiaTheme="minorHAnsi" w:hAnsi="Bookman Old Style"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77045F4"/>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7"/>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0"/>
  </w:num>
  <w:num w:numId="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5"/>
  </w:num>
  <w:num w:numId="10">
    <w:abstractNumId w:val="5"/>
    <w:lvlOverride w:ilvl="0">
      <w:startOverride w:val="1"/>
    </w:lvlOverride>
  </w:num>
  <w:num w:numId="11">
    <w:abstractNumId w:val="5"/>
  </w:num>
  <w:num w:numId="12">
    <w:abstractNumId w:val="8"/>
  </w:num>
  <w:num w:numId="13">
    <w:abstractNumId w:val="5"/>
  </w:num>
  <w:num w:numId="14">
    <w:abstractNumId w:val="4"/>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UyNzQxNQVSxmam5ko6SsGpxcWZ+XkgBUa1AHa3AzcsAAAA"/>
  </w:docVars>
  <w:rsids>
    <w:rsidRoot w:val="001D60EF"/>
    <w:rsid w:val="0000152E"/>
    <w:rsid w:val="0001636A"/>
    <w:rsid w:val="000634DF"/>
    <w:rsid w:val="000F03CB"/>
    <w:rsid w:val="000F7F23"/>
    <w:rsid w:val="00113620"/>
    <w:rsid w:val="001149BB"/>
    <w:rsid w:val="00125A37"/>
    <w:rsid w:val="00145219"/>
    <w:rsid w:val="001560EB"/>
    <w:rsid w:val="00161DF2"/>
    <w:rsid w:val="001875E7"/>
    <w:rsid w:val="00194984"/>
    <w:rsid w:val="001D0B66"/>
    <w:rsid w:val="001D60EF"/>
    <w:rsid w:val="00214CA9"/>
    <w:rsid w:val="002202F6"/>
    <w:rsid w:val="002337D1"/>
    <w:rsid w:val="00272511"/>
    <w:rsid w:val="00290EE9"/>
    <w:rsid w:val="00366F20"/>
    <w:rsid w:val="003840AA"/>
    <w:rsid w:val="003849E3"/>
    <w:rsid w:val="0039720F"/>
    <w:rsid w:val="003A7CE7"/>
    <w:rsid w:val="003E4DCD"/>
    <w:rsid w:val="00406D4D"/>
    <w:rsid w:val="00417F52"/>
    <w:rsid w:val="004303D7"/>
    <w:rsid w:val="00475A93"/>
    <w:rsid w:val="004B09BA"/>
    <w:rsid w:val="004B16C1"/>
    <w:rsid w:val="005448A3"/>
    <w:rsid w:val="005641BA"/>
    <w:rsid w:val="005F1F34"/>
    <w:rsid w:val="00670232"/>
    <w:rsid w:val="006B315D"/>
    <w:rsid w:val="006D36DE"/>
    <w:rsid w:val="00706E93"/>
    <w:rsid w:val="00737516"/>
    <w:rsid w:val="007455D9"/>
    <w:rsid w:val="00752224"/>
    <w:rsid w:val="0077726C"/>
    <w:rsid w:val="007775E5"/>
    <w:rsid w:val="00781C55"/>
    <w:rsid w:val="0080304E"/>
    <w:rsid w:val="00820A79"/>
    <w:rsid w:val="008320EB"/>
    <w:rsid w:val="008343EC"/>
    <w:rsid w:val="00837397"/>
    <w:rsid w:val="00840F40"/>
    <w:rsid w:val="00895F46"/>
    <w:rsid w:val="008B6255"/>
    <w:rsid w:val="008D7016"/>
    <w:rsid w:val="009131EB"/>
    <w:rsid w:val="00945B69"/>
    <w:rsid w:val="009B77E8"/>
    <w:rsid w:val="009D2F9A"/>
    <w:rsid w:val="009E7D9D"/>
    <w:rsid w:val="00A117B1"/>
    <w:rsid w:val="00AD59DD"/>
    <w:rsid w:val="00AE2EC8"/>
    <w:rsid w:val="00C36B56"/>
    <w:rsid w:val="00C634F0"/>
    <w:rsid w:val="00C72785"/>
    <w:rsid w:val="00CD3AA5"/>
    <w:rsid w:val="00CE0CFE"/>
    <w:rsid w:val="00CF1701"/>
    <w:rsid w:val="00D3783E"/>
    <w:rsid w:val="00D50787"/>
    <w:rsid w:val="00D66EC6"/>
    <w:rsid w:val="00DA22B2"/>
    <w:rsid w:val="00DB3B54"/>
    <w:rsid w:val="00DC141B"/>
    <w:rsid w:val="00DF2D79"/>
    <w:rsid w:val="00E01801"/>
    <w:rsid w:val="00E34F41"/>
    <w:rsid w:val="00E65025"/>
    <w:rsid w:val="00EA7E50"/>
    <w:rsid w:val="00EF1AB7"/>
    <w:rsid w:val="00F12F2B"/>
    <w:rsid w:val="00F52DC2"/>
    <w:rsid w:val="00FC66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48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autoRedefine/>
    <w:uiPriority w:val="9"/>
    <w:qFormat/>
    <w:rsid w:val="006D36DE"/>
    <w:pPr>
      <w:keepNext/>
      <w:keepLines/>
      <w:spacing w:after="120" w:line="264" w:lineRule="auto"/>
      <w:jc w:val="both"/>
      <w:outlineLvl w:val="0"/>
    </w:pPr>
    <w:rPr>
      <w:rFonts w:ascii="Bookman Old Style" w:eastAsiaTheme="majorEastAsia" w:hAnsi="Bookman Old Style" w:cstheme="majorBidi"/>
      <w:b/>
      <w:color w:val="2E74B5" w:themeColor="accent1" w:themeShade="BF"/>
      <w:sz w:val="28"/>
      <w:szCs w:val="28"/>
    </w:rPr>
  </w:style>
  <w:style w:type="paragraph" w:styleId="Titolo2">
    <w:name w:val="heading 2"/>
    <w:basedOn w:val="Normale"/>
    <w:next w:val="Normale"/>
    <w:link w:val="Titolo2Carattere"/>
    <w:uiPriority w:val="9"/>
    <w:unhideWhenUsed/>
    <w:qFormat/>
    <w:rsid w:val="001875E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Titolo2"/>
    <w:next w:val="Normale"/>
    <w:link w:val="Titolo3Carattere"/>
    <w:uiPriority w:val="9"/>
    <w:unhideWhenUsed/>
    <w:qFormat/>
    <w:rsid w:val="001875E7"/>
    <w:pPr>
      <w:ind w:left="708"/>
      <w:outlineLvl w:val="2"/>
    </w:pPr>
    <w:rPr>
      <w:rFonts w:ascii="Bookman Old Style" w:hAnsi="Bookman Old Style"/>
      <w: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06E9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06E93"/>
  </w:style>
  <w:style w:type="paragraph" w:styleId="Pidipagina">
    <w:name w:val="footer"/>
    <w:basedOn w:val="Normale"/>
    <w:link w:val="PidipaginaCarattere"/>
    <w:uiPriority w:val="99"/>
    <w:unhideWhenUsed/>
    <w:rsid w:val="00706E9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06E93"/>
  </w:style>
  <w:style w:type="paragraph" w:styleId="Paragrafoelenco">
    <w:name w:val="List Paragraph"/>
    <w:basedOn w:val="Normale"/>
    <w:uiPriority w:val="34"/>
    <w:qFormat/>
    <w:rsid w:val="008B6255"/>
    <w:pPr>
      <w:ind w:left="720"/>
      <w:contextualSpacing/>
    </w:pPr>
  </w:style>
  <w:style w:type="character" w:customStyle="1" w:styleId="TestonotaapidipaginaCarattere">
    <w:name w:val="Testo nota a piè di pagina Carattere"/>
    <w:aliases w:val="Testo nota a piè di pagina Carattere2 Carattere Carattere,Testo nota a piè di pagina Carattere Carattere1 Carattere Carattere,Testo nota a piè di pagina Carattere2 Carattere Carattere Carattere Carattere,f Carattere"/>
    <w:basedOn w:val="Carpredefinitoparagrafo"/>
    <w:link w:val="Testonotaapidipagina"/>
    <w:uiPriority w:val="99"/>
    <w:semiHidden/>
    <w:locked/>
    <w:rsid w:val="0001636A"/>
    <w:rPr>
      <w:rFonts w:ascii="Times New Roman" w:hAnsi="Times New Roman" w:cs="Times New Roman"/>
      <w:sz w:val="20"/>
      <w:szCs w:val="20"/>
    </w:rPr>
  </w:style>
  <w:style w:type="paragraph" w:styleId="Testonotaapidipagina">
    <w:name w:val="footnote text"/>
    <w:aliases w:val="Testo nota a piè di pagina Carattere2 Carattere,Testo nota a piè di pagina Carattere Carattere1 Carattere,Testo nota a piè di pagina Carattere2 Carattere Carattere Carattere,Footnote,Carattere,stile 1,Footnot,f"/>
    <w:basedOn w:val="Normale"/>
    <w:link w:val="TestonotaapidipaginaCarattere"/>
    <w:uiPriority w:val="99"/>
    <w:semiHidden/>
    <w:unhideWhenUsed/>
    <w:qFormat/>
    <w:rsid w:val="0001636A"/>
    <w:pPr>
      <w:spacing w:after="120" w:line="240" w:lineRule="auto"/>
      <w:ind w:firstLine="567"/>
      <w:jc w:val="both"/>
    </w:pPr>
    <w:rPr>
      <w:rFonts w:ascii="Times New Roman" w:hAnsi="Times New Roman" w:cs="Times New Roman"/>
      <w:sz w:val="20"/>
      <w:szCs w:val="20"/>
    </w:rPr>
  </w:style>
  <w:style w:type="character" w:customStyle="1" w:styleId="TestonotaapidipaginaCarattere1">
    <w:name w:val="Testo nota a piè di pagina Carattere1"/>
    <w:basedOn w:val="Carpredefinitoparagrafo"/>
    <w:uiPriority w:val="99"/>
    <w:semiHidden/>
    <w:rsid w:val="0001636A"/>
    <w:rPr>
      <w:sz w:val="20"/>
      <w:szCs w:val="20"/>
    </w:rPr>
  </w:style>
  <w:style w:type="character" w:styleId="Rimandonotaapidipagina">
    <w:name w:val="footnote reference"/>
    <w:aliases w:val="(Footnote Reference),SUPERS,EN Footnote Reference,Footnote symbol,Footnote reference number,note TESI,Footnote number,fr,o,Footnotemark,FR,Footnotemark1,Footnotemark2,FR1,Footnotemark3,FR2,Footnotemark4,FR3,FR4,FR5,Ref"/>
    <w:basedOn w:val="Carpredefinitoparagrafo"/>
    <w:uiPriority w:val="99"/>
    <w:semiHidden/>
    <w:unhideWhenUsed/>
    <w:qFormat/>
    <w:rsid w:val="0001636A"/>
    <w:rPr>
      <w:vertAlign w:val="superscript"/>
    </w:rPr>
  </w:style>
  <w:style w:type="character" w:customStyle="1" w:styleId="Titolo1Carattere">
    <w:name w:val="Titolo 1 Carattere"/>
    <w:basedOn w:val="Carpredefinitoparagrafo"/>
    <w:link w:val="Titolo1"/>
    <w:uiPriority w:val="9"/>
    <w:rsid w:val="006D36DE"/>
    <w:rPr>
      <w:rFonts w:ascii="Bookman Old Style" w:eastAsiaTheme="majorEastAsia" w:hAnsi="Bookman Old Style" w:cstheme="majorBidi"/>
      <w:b/>
      <w:color w:val="2E74B5" w:themeColor="accent1" w:themeShade="BF"/>
      <w:sz w:val="28"/>
      <w:szCs w:val="28"/>
    </w:rPr>
  </w:style>
  <w:style w:type="paragraph" w:styleId="Titolosommario">
    <w:name w:val="TOC Heading"/>
    <w:basedOn w:val="Titolo1"/>
    <w:next w:val="Normale"/>
    <w:uiPriority w:val="39"/>
    <w:unhideWhenUsed/>
    <w:qFormat/>
    <w:rsid w:val="00214CA9"/>
    <w:pPr>
      <w:outlineLvl w:val="9"/>
    </w:pPr>
    <w:rPr>
      <w:rFonts w:asciiTheme="majorHAnsi" w:hAnsiTheme="majorHAnsi"/>
      <w:b w:val="0"/>
      <w:sz w:val="32"/>
      <w:szCs w:val="32"/>
      <w:lang w:eastAsia="it-IT"/>
    </w:rPr>
  </w:style>
  <w:style w:type="paragraph" w:styleId="Sommario1">
    <w:name w:val="toc 1"/>
    <w:basedOn w:val="Normale"/>
    <w:next w:val="Normale"/>
    <w:autoRedefine/>
    <w:uiPriority w:val="39"/>
    <w:unhideWhenUsed/>
    <w:rsid w:val="004B09BA"/>
    <w:pPr>
      <w:tabs>
        <w:tab w:val="right" w:leader="dot" w:pos="9356"/>
      </w:tabs>
      <w:spacing w:after="100"/>
      <w:ind w:left="284" w:right="140"/>
    </w:pPr>
  </w:style>
  <w:style w:type="character" w:styleId="Collegamentoipertestuale">
    <w:name w:val="Hyperlink"/>
    <w:basedOn w:val="Carpredefinitoparagrafo"/>
    <w:uiPriority w:val="99"/>
    <w:unhideWhenUsed/>
    <w:rsid w:val="00214CA9"/>
    <w:rPr>
      <w:color w:val="0563C1" w:themeColor="hyperlink"/>
      <w:u w:val="single"/>
    </w:rPr>
  </w:style>
  <w:style w:type="paragraph" w:styleId="Testofumetto">
    <w:name w:val="Balloon Text"/>
    <w:basedOn w:val="Normale"/>
    <w:link w:val="TestofumettoCarattere"/>
    <w:uiPriority w:val="99"/>
    <w:semiHidden/>
    <w:unhideWhenUsed/>
    <w:rsid w:val="00406D4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06D4D"/>
    <w:rPr>
      <w:rFonts w:ascii="Tahoma" w:hAnsi="Tahoma" w:cs="Tahoma"/>
      <w:sz w:val="16"/>
      <w:szCs w:val="16"/>
    </w:rPr>
  </w:style>
  <w:style w:type="paragraph" w:styleId="NormaleWeb">
    <w:name w:val="Normal (Web)"/>
    <w:basedOn w:val="Normale"/>
    <w:semiHidden/>
    <w:unhideWhenUsed/>
    <w:rsid w:val="001875E7"/>
    <w:pPr>
      <w:spacing w:before="100" w:beforeAutospacing="1" w:after="100" w:afterAutospacing="1" w:line="240" w:lineRule="auto"/>
    </w:pPr>
    <w:rPr>
      <w:rFonts w:ascii="Times New Roman" w:eastAsia="Calibri" w:hAnsi="Times New Roman" w:cs="Times New Roman"/>
      <w:sz w:val="24"/>
      <w:szCs w:val="24"/>
      <w:lang w:eastAsia="it-IT"/>
    </w:rPr>
  </w:style>
  <w:style w:type="character" w:customStyle="1" w:styleId="Titolo3Carattere">
    <w:name w:val="Titolo 3 Carattere"/>
    <w:basedOn w:val="Carpredefinitoparagrafo"/>
    <w:link w:val="Titolo3"/>
    <w:uiPriority w:val="9"/>
    <w:rsid w:val="001875E7"/>
    <w:rPr>
      <w:rFonts w:ascii="Bookman Old Style" w:eastAsiaTheme="majorEastAsia" w:hAnsi="Bookman Old Style" w:cstheme="majorBidi"/>
      <w:i/>
      <w:color w:val="1F4D78" w:themeColor="accent1" w:themeShade="7F"/>
      <w:sz w:val="24"/>
      <w:szCs w:val="24"/>
    </w:rPr>
  </w:style>
  <w:style w:type="character" w:customStyle="1" w:styleId="Titolo2Carattere">
    <w:name w:val="Titolo 2 Carattere"/>
    <w:basedOn w:val="Carpredefinitoparagrafo"/>
    <w:link w:val="Titolo2"/>
    <w:uiPriority w:val="9"/>
    <w:rsid w:val="001875E7"/>
    <w:rPr>
      <w:rFonts w:asciiTheme="majorHAnsi" w:eastAsiaTheme="majorEastAsia" w:hAnsiTheme="majorHAnsi" w:cstheme="majorBidi"/>
      <w:color w:val="2E74B5" w:themeColor="accent1" w:themeShade="BF"/>
      <w:sz w:val="26"/>
      <w:szCs w:val="26"/>
    </w:rPr>
  </w:style>
  <w:style w:type="character" w:customStyle="1" w:styleId="linkneltesto">
    <w:name w:val="link_nel_testo"/>
    <w:basedOn w:val="Carpredefinitoparagrafo"/>
    <w:rsid w:val="006D36DE"/>
  </w:style>
  <w:style w:type="paragraph" w:styleId="Didascalia">
    <w:name w:val="caption"/>
    <w:basedOn w:val="Normale"/>
    <w:next w:val="Normale"/>
    <w:uiPriority w:val="35"/>
    <w:unhideWhenUsed/>
    <w:qFormat/>
    <w:rsid w:val="006D36DE"/>
    <w:pPr>
      <w:spacing w:after="200" w:line="240" w:lineRule="auto"/>
    </w:pPr>
    <w:rPr>
      <w:i/>
      <w:iCs/>
      <w:color w:val="44546A" w:themeColor="text2"/>
      <w:sz w:val="18"/>
      <w:szCs w:val="18"/>
    </w:rPr>
  </w:style>
  <w:style w:type="paragraph" w:styleId="Sommario3">
    <w:name w:val="toc 3"/>
    <w:basedOn w:val="Normale"/>
    <w:next w:val="Normale"/>
    <w:autoRedefine/>
    <w:uiPriority w:val="39"/>
    <w:unhideWhenUsed/>
    <w:rsid w:val="00C634F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6121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Cartel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val>
            <c:numRef>
              <c:f>Foglio1!$O$11:$T$11</c:f>
              <c:numCache>
                <c:formatCode>#,##0</c:formatCode>
                <c:ptCount val="6"/>
                <c:pt idx="0">
                  <c:v>965677529</c:v>
                </c:pt>
                <c:pt idx="1">
                  <c:v>1057991364</c:v>
                </c:pt>
                <c:pt idx="2">
                  <c:v>1062381601</c:v>
                </c:pt>
                <c:pt idx="3">
                  <c:v>979571786</c:v>
                </c:pt>
                <c:pt idx="4">
                  <c:v>981693171</c:v>
                </c:pt>
                <c:pt idx="5">
                  <c:v>965316137</c:v>
                </c:pt>
              </c:numCache>
            </c:numRef>
          </c:val>
          <c:extLst>
            <c:ext xmlns:c15="http://schemas.microsoft.com/office/drawing/2012/chart" uri="{02D57815-91ED-43cb-92C2-25804820EDAC}">
              <c15:filteredSeriesTitle>
                <c15:tx>
                  <c:strRef>
                    <c:extLst>
                      <c:ext uri="{02D57815-91ED-43cb-92C2-25804820EDAC}">
                        <c15:formulaRef>
                          <c15:sqref>Foglio1!$N$11</c15:sqref>
                        </c15:formulaRef>
                      </c:ext>
                    </c:extLst>
                    <c:strCache>
                      <c:ptCount val="1"/>
                      <c:pt idx="0">
                        <c:v>Quota Comune</c:v>
                      </c:pt>
                    </c:strCache>
                  </c:strRef>
                </c15:tx>
              </c15:filteredSeriesTitle>
            </c:ext>
            <c:ext xmlns:c15="http://schemas.microsoft.com/office/drawing/2012/chart" uri="{02D57815-91ED-43cb-92C2-25804820EDAC}">
              <c15:filteredCategoryTitle>
                <c15:cat>
                  <c:numRef>
                    <c:extLst>
                      <c:ext uri="{02D57815-91ED-43cb-92C2-25804820EDAC}">
                        <c15:formulaRef>
                          <c15:sqref>Foglio1!$O$10:$T$10</c15:sqref>
                        </c15:formulaRef>
                      </c:ext>
                    </c:extLst>
                    <c:numCache>
                      <c:formatCode>@</c:formatCode>
                      <c:ptCount val="6"/>
                      <c:pt idx="0">
                        <c:v>2013</c:v>
                      </c:pt>
                      <c:pt idx="1">
                        <c:v>2014</c:v>
                      </c:pt>
                      <c:pt idx="2">
                        <c:v>2015</c:v>
                      </c:pt>
                      <c:pt idx="3">
                        <c:v>2016</c:v>
                      </c:pt>
                      <c:pt idx="4">
                        <c:v>2017</c:v>
                      </c:pt>
                      <c:pt idx="5">
                        <c:v>2018</c:v>
                      </c:pt>
                    </c:numCache>
                  </c:numRef>
                </c15:cat>
              </c15:filteredCategoryTitle>
            </c:ext>
            <c:ext xmlns:c16="http://schemas.microsoft.com/office/drawing/2014/chart" uri="{C3380CC4-5D6E-409C-BE32-E72D297353CC}">
              <c16:uniqueId val="{00000000-6049-4157-ACCE-81395019DB27}"/>
            </c:ext>
          </c:extLst>
        </c:ser>
        <c:ser>
          <c:idx val="1"/>
          <c:order val="1"/>
          <c:spPr>
            <a:solidFill>
              <a:schemeClr val="accent2"/>
            </a:solidFill>
            <a:ln>
              <a:noFill/>
            </a:ln>
            <a:effectLst/>
          </c:spPr>
          <c:invertIfNegative val="0"/>
          <c:val>
            <c:numRef>
              <c:f>Foglio1!$O$12:$T$12</c:f>
              <c:numCache>
                <c:formatCode>#,##0</c:formatCode>
                <c:ptCount val="6"/>
                <c:pt idx="0">
                  <c:v>3894978501</c:v>
                </c:pt>
                <c:pt idx="1">
                  <c:v>3858742992</c:v>
                </c:pt>
                <c:pt idx="2">
                  <c:v>3844170731</c:v>
                </c:pt>
                <c:pt idx="3">
                  <c:v>3580323193</c:v>
                </c:pt>
                <c:pt idx="4">
                  <c:v>3605748587</c:v>
                </c:pt>
                <c:pt idx="5">
                  <c:v>3559949611</c:v>
                </c:pt>
              </c:numCache>
            </c:numRef>
          </c:val>
          <c:extLst>
            <c:ext xmlns:c15="http://schemas.microsoft.com/office/drawing/2012/chart" uri="{02D57815-91ED-43cb-92C2-25804820EDAC}">
              <c15:filteredSeriesTitle>
                <c15:tx>
                  <c:strRef>
                    <c:extLst>
                      <c:ext uri="{02D57815-91ED-43cb-92C2-25804820EDAC}">
                        <c15:formulaRef>
                          <c15:sqref>Foglio1!$N$12</c15:sqref>
                        </c15:formulaRef>
                      </c:ext>
                    </c:extLst>
                    <c:strCache>
                      <c:ptCount val="1"/>
                      <c:pt idx="0">
                        <c:v>Quota Stato</c:v>
                      </c:pt>
                    </c:strCache>
                  </c:strRef>
                </c15:tx>
              </c15:filteredSeriesTitle>
            </c:ext>
            <c:ext xmlns:c15="http://schemas.microsoft.com/office/drawing/2012/chart" uri="{02D57815-91ED-43cb-92C2-25804820EDAC}">
              <c15:filteredCategoryTitle>
                <c15:cat>
                  <c:numRef>
                    <c:extLst>
                      <c:ext uri="{02D57815-91ED-43cb-92C2-25804820EDAC}">
                        <c15:formulaRef>
                          <c15:sqref>Foglio1!$O$10:$T$10</c15:sqref>
                        </c15:formulaRef>
                      </c:ext>
                    </c:extLst>
                    <c:numCache>
                      <c:formatCode>@</c:formatCode>
                      <c:ptCount val="6"/>
                      <c:pt idx="0">
                        <c:v>2013</c:v>
                      </c:pt>
                      <c:pt idx="1">
                        <c:v>2014</c:v>
                      </c:pt>
                      <c:pt idx="2">
                        <c:v>2015</c:v>
                      </c:pt>
                      <c:pt idx="3">
                        <c:v>2016</c:v>
                      </c:pt>
                      <c:pt idx="4">
                        <c:v>2017</c:v>
                      </c:pt>
                      <c:pt idx="5">
                        <c:v>2018</c:v>
                      </c:pt>
                    </c:numCache>
                  </c:numRef>
                </c15:cat>
              </c15:filteredCategoryTitle>
            </c:ext>
            <c:ext xmlns:c16="http://schemas.microsoft.com/office/drawing/2014/chart" uri="{C3380CC4-5D6E-409C-BE32-E72D297353CC}">
              <c16:uniqueId val="{00000001-6049-4157-ACCE-81395019DB27}"/>
            </c:ext>
          </c:extLst>
        </c:ser>
        <c:dLbls>
          <c:showLegendKey val="0"/>
          <c:showVal val="0"/>
          <c:showCatName val="0"/>
          <c:showSerName val="0"/>
          <c:showPercent val="0"/>
          <c:showBubbleSize val="0"/>
        </c:dLbls>
        <c:gapWidth val="219"/>
        <c:overlap val="-27"/>
        <c:axId val="1464078880"/>
        <c:axId val="1359879264"/>
      </c:barChart>
      <c:catAx>
        <c:axId val="1464078880"/>
        <c:scaling>
          <c:orientation val="minMax"/>
        </c:scaling>
        <c:delete val="0"/>
        <c:axPos val="b"/>
        <c:numFmt formatCode="@"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it-IT"/>
          </a:p>
        </c:txPr>
        <c:crossAx val="1359879264"/>
        <c:crosses val="autoZero"/>
        <c:auto val="1"/>
        <c:lblAlgn val="ctr"/>
        <c:lblOffset val="100"/>
        <c:noMultiLvlLbl val="0"/>
      </c:catAx>
      <c:valAx>
        <c:axId val="135987926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it-IT"/>
          </a:p>
        </c:txPr>
        <c:crossAx val="14640788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it-IT"/>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it-I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AEDE34-749A-4538-9A0A-01A03F17C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7062</Words>
  <Characters>40259</Characters>
  <Application>Microsoft Office Word</Application>
  <DocSecurity>0</DocSecurity>
  <Lines>335</Lines>
  <Paragraphs>94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2019-11-12T20:36:00Z</dcterms:created>
  <dcterms:modified xsi:type="dcterms:W3CDTF">2019-11-13T18:57:00Z</dcterms:modified>
</cp:coreProperties>
</file>