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8AE" w:rsidRPr="006908AE" w:rsidRDefault="006908AE" w:rsidP="006908A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3366"/>
          <w:sz w:val="36"/>
          <w:szCs w:val="36"/>
          <w:lang w:eastAsia="it-IT"/>
        </w:rPr>
      </w:pPr>
      <w:r w:rsidRPr="006908AE">
        <w:rPr>
          <w:rFonts w:ascii="Arial" w:eastAsia="Times New Roman" w:hAnsi="Arial" w:cs="Arial"/>
          <w:b/>
          <w:bCs/>
          <w:color w:val="003366"/>
          <w:sz w:val="36"/>
          <w:szCs w:val="36"/>
          <w:lang w:eastAsia="it-IT"/>
        </w:rPr>
        <w:t>Scheda tecnica - consultazione 665/2014/R/</w:t>
      </w:r>
      <w:proofErr w:type="spellStart"/>
      <w:r w:rsidRPr="006908AE">
        <w:rPr>
          <w:rFonts w:ascii="Arial" w:eastAsia="Times New Roman" w:hAnsi="Arial" w:cs="Arial"/>
          <w:b/>
          <w:bCs/>
          <w:color w:val="003366"/>
          <w:sz w:val="36"/>
          <w:szCs w:val="36"/>
          <w:lang w:eastAsia="it-IT"/>
        </w:rPr>
        <w:t>idr</w:t>
      </w:r>
      <w:proofErr w:type="spellEnd"/>
    </w:p>
    <w:p w:rsidR="006908AE" w:rsidRPr="006908AE" w:rsidRDefault="006908AE" w:rsidP="00690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Con il Documento per la consultazione 665/2014/R/</w:t>
      </w:r>
      <w:proofErr w:type="spellStart"/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idr</w:t>
      </w:r>
      <w:proofErr w:type="spellEnd"/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, l'Autorità per l'energia elettrica il gas e il sistema idrico ha definito i propri orientamenti per la regolazione di alcuni aspetti della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qualità contrattuale del servizio idrico integrato</w:t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 e nello specifico dei servizi di distribuzione, fognatura e depurazione.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Poiché dall'analisi dei dati raccolti e delle Carte dei servizi adottate le condizioni contrattuali attualmente applicate dai gestori del servizio idrico risultano fortemente differenziate sul territorio nazionale, l'Autorità intende introdurre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regole uniformi per l'intero territorio nazionale</w:t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,  rafforzando  i livelli di tutela degli utenti finali. L'Autorità intende perseguire inoltre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obiettivi specifici</w:t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 quali: rinforzare la tutela per gli utenti domestici, garantire la certezza dei tempi di pagamento, definire i livelli minimi e gli obiettivi di qualità del servizio, sostenere la chiarezza la semplicità e la trasparenza verso gli utenti.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Le proposte avanzate dall'Autorità sono formulate con riferimento all'esperienza maturata nella regolazione della qualità contrattuale nei settori dell'energia elettrica e del gas, tenendo però conto delle specificità del settore idrico. 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In dettaglio, i principali orientamenti sulla regolazione della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qualità contrattuale</w:t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 illustrati nel Documento per la consultazione 665/2014/R/</w:t>
      </w:r>
      <w:proofErr w:type="spellStart"/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idr</w:t>
      </w:r>
      <w:proofErr w:type="spellEnd"/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 xml:space="preserve"> riguardano: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b/>
          <w:bCs/>
          <w:color w:val="003366"/>
          <w:sz w:val="18"/>
          <w:szCs w:val="18"/>
          <w:lang w:eastAsia="it-IT"/>
        </w:rPr>
        <w:t>1. Le modalità di</w:t>
      </w:r>
      <w:r w:rsidRPr="006908AE">
        <w:rPr>
          <w:rFonts w:ascii="Arial" w:eastAsia="Times New Roman" w:hAnsi="Arial" w:cs="Arial"/>
          <w:b/>
          <w:bCs/>
          <w:i/>
          <w:iCs/>
          <w:color w:val="003366"/>
          <w:sz w:val="18"/>
          <w:szCs w:val="18"/>
          <w:lang w:eastAsia="it-IT"/>
        </w:rPr>
        <w:t> fatturazione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bookmarkStart w:id="0" w:name="_GoBack"/>
      <w:bookmarkEnd w:id="0"/>
    </w:p>
    <w:p w:rsidR="006908AE" w:rsidRPr="006908AE" w:rsidRDefault="006908AE" w:rsidP="006908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Periodicità 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di fatturazione legata ai consumi medi delle ultime tre annualità:</w:t>
      </w:r>
    </w:p>
    <w:p w:rsidR="006908AE" w:rsidRPr="006908AE" w:rsidRDefault="006908AE" w:rsidP="006908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3 bollette all'anno (quadrimestrali) per consumi medi annui fino a 200 mc,</w:t>
      </w:r>
    </w:p>
    <w:p w:rsidR="006908AE" w:rsidRPr="006908AE" w:rsidRDefault="006908AE" w:rsidP="006908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6 bollette all'anno (bimestrali) per consumi medi annui da 200 mc a 2000 mc,</w:t>
      </w:r>
    </w:p>
    <w:p w:rsidR="006908AE" w:rsidRPr="006908AE" w:rsidRDefault="006908AE" w:rsidP="006908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12 bollette all'anno (mensili) per consumi medi superiori a 2000 mc.</w:t>
      </w:r>
    </w:p>
    <w:p w:rsidR="006908AE" w:rsidRPr="006908AE" w:rsidRDefault="006908AE" w:rsidP="00690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Per il mancato rispetto di tale standard specifico di qualità è previsto un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indennizzo automatico</w:t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 di 20€, analogo a quello dei settori elettrico e gas;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</w:p>
    <w:p w:rsidR="006908AE" w:rsidRPr="006908AE" w:rsidRDefault="006908AE" w:rsidP="006908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rettifiche di fatturazione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da effettuarsi entro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60 giorni solari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(o comunque nella prima bolletta utile se l'importo è inferiore a 50€). Il mancato rispetto dello standard specifico per il tempo di rettifica di fatturazione costituisce il presupposto per l'erogazione di un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indennizzo automatico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all'utente di 30€;</w:t>
      </w:r>
    </w:p>
    <w:p w:rsidR="006908AE" w:rsidRPr="006908AE" w:rsidRDefault="006908AE" w:rsidP="006908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Tempo massimo di risposta motivata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a richiesta scritta di rettifica di fatturazione di 60 giorni solari;</w:t>
      </w:r>
    </w:p>
    <w:p w:rsidR="006908AE" w:rsidRPr="006908AE" w:rsidRDefault="006908AE" w:rsidP="006908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Pagamento della bolletta dopo almeno 20 giorni solari a decorrere dalla data di emissione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della stessa.</w:t>
      </w:r>
    </w:p>
    <w:p w:rsidR="006908AE" w:rsidRPr="006908AE" w:rsidRDefault="006908AE" w:rsidP="00690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08AE">
        <w:rPr>
          <w:rFonts w:ascii="Arial" w:eastAsia="Times New Roman" w:hAnsi="Arial" w:cs="Arial"/>
          <w:b/>
          <w:bCs/>
          <w:color w:val="003366"/>
          <w:sz w:val="18"/>
          <w:szCs w:val="18"/>
          <w:lang w:eastAsia="it-IT"/>
        </w:rPr>
        <w:t>2. La </w:t>
      </w:r>
      <w:r w:rsidRPr="006908AE">
        <w:rPr>
          <w:rFonts w:ascii="Arial" w:eastAsia="Times New Roman" w:hAnsi="Arial" w:cs="Arial"/>
          <w:b/>
          <w:bCs/>
          <w:i/>
          <w:iCs/>
          <w:color w:val="003366"/>
          <w:sz w:val="18"/>
          <w:szCs w:val="18"/>
          <w:lang w:eastAsia="it-IT"/>
        </w:rPr>
        <w:t>rateizzazione</w:t>
      </w:r>
      <w:r w:rsidRPr="006908AE">
        <w:rPr>
          <w:rFonts w:ascii="Arial" w:eastAsia="Times New Roman" w:hAnsi="Arial" w:cs="Arial"/>
          <w:b/>
          <w:bCs/>
          <w:color w:val="003366"/>
          <w:sz w:val="18"/>
          <w:szCs w:val="18"/>
          <w:lang w:eastAsia="it-IT"/>
        </w:rPr>
        <w:t> dei pagamenti</w:t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 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</w:p>
    <w:p w:rsidR="006908AE" w:rsidRPr="006908AE" w:rsidRDefault="006908AE" w:rsidP="006908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L'esercente, in coerenza con quanto disposto nei settori dell'elettricità e del gas, dovrà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garantire il pagamento rateizzato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qualora la fattura emessa superi del 150% il valore dell'addebito medio bimestrale fatturato nel corso degli ultimi 12 mesi e comunque ogni qualvolta l'importo dovuto sia superiore a 70€ nel caso degli utenti domestici.</w:t>
      </w:r>
    </w:p>
    <w:p w:rsidR="006908AE" w:rsidRPr="006908AE" w:rsidRDefault="006908AE" w:rsidP="00690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08AE">
        <w:rPr>
          <w:rFonts w:ascii="Arial" w:eastAsia="Times New Roman" w:hAnsi="Arial" w:cs="Arial"/>
          <w:b/>
          <w:bCs/>
          <w:color w:val="003366"/>
          <w:sz w:val="18"/>
          <w:szCs w:val="18"/>
          <w:lang w:eastAsia="it-IT"/>
        </w:rPr>
        <w:t>3. La gestione degli </w:t>
      </w:r>
      <w:r w:rsidRPr="006908AE">
        <w:rPr>
          <w:rFonts w:ascii="Arial" w:eastAsia="Times New Roman" w:hAnsi="Arial" w:cs="Arial"/>
          <w:b/>
          <w:bCs/>
          <w:i/>
          <w:iCs/>
          <w:color w:val="003366"/>
          <w:sz w:val="18"/>
          <w:szCs w:val="18"/>
          <w:lang w:eastAsia="it-IT"/>
        </w:rPr>
        <w:t>sportelli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</w:p>
    <w:p w:rsidR="006908AE" w:rsidRPr="006908AE" w:rsidRDefault="006908AE" w:rsidP="006908A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Viene prevista l'apertura di almeno uno sportello per provincia;</w:t>
      </w:r>
    </w:p>
    <w:p w:rsidR="006908AE" w:rsidRPr="006908AE" w:rsidRDefault="006908AE" w:rsidP="006908A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Si propone l'introduzione di due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standard generali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(tempo medio e tempo massimo di attesa agli sportelli);</w:t>
      </w:r>
    </w:p>
    <w:p w:rsidR="006908AE" w:rsidRPr="006908AE" w:rsidRDefault="006908AE" w:rsidP="006908A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Si propone l'obbligatorietà del sito internet per tutti i gestori. Il sito dovrà prevedere opportune sezioni dedicate - alla pubblicazione della Carta dei servizi e ad altri atti integrativi del contratto di fornitura (come il Regolamento d'utenza) - nonché garantire la gestione on line delle pratiche contrattuali, la presentazione di reclami e la richiesta di informazioni.</w:t>
      </w:r>
    </w:p>
    <w:p w:rsidR="006908AE" w:rsidRPr="006908AE" w:rsidRDefault="006908AE" w:rsidP="00690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08AE">
        <w:rPr>
          <w:rFonts w:ascii="Arial" w:eastAsia="Times New Roman" w:hAnsi="Arial" w:cs="Arial"/>
          <w:b/>
          <w:bCs/>
          <w:color w:val="003366"/>
          <w:sz w:val="18"/>
          <w:szCs w:val="18"/>
          <w:lang w:eastAsia="it-IT"/>
        </w:rPr>
        <w:t>4. La gestione dei </w:t>
      </w:r>
      <w:r w:rsidRPr="006908AE">
        <w:rPr>
          <w:rFonts w:ascii="Arial" w:eastAsia="Times New Roman" w:hAnsi="Arial" w:cs="Arial"/>
          <w:b/>
          <w:bCs/>
          <w:i/>
          <w:iCs/>
          <w:color w:val="003366"/>
          <w:sz w:val="18"/>
          <w:szCs w:val="18"/>
          <w:lang w:eastAsia="it-IT"/>
        </w:rPr>
        <w:t>servizi telefonici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</w:p>
    <w:p w:rsidR="006908AE" w:rsidRPr="006908AE" w:rsidRDefault="006908AE" w:rsidP="006908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Si propone che tutte le pratiche possano essere espletate tramite call center; inoltre al fine di garantire la piena disponibilità e gratuità del servizio telefonico, si prevede che al call center sia associato almeno un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numero verde 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da rete fissa nazionale, pubblicato sul sito internet;</w:t>
      </w:r>
    </w:p>
    <w:p w:rsidR="006908AE" w:rsidRPr="006908AE" w:rsidRDefault="006908AE" w:rsidP="006908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lastRenderedPageBreak/>
        <w:t>Viene previsto un orario minimo di disponibilità dei servizi telefonici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con operatore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, e si rinvia ad un successivo provvedimento la specificazione di ulteriori disposizioni che possano garantire piena efficienza e livelli qualitativi maggiori in materia di servizi telefonici rispetto a quelli stabiliti nel 1999;</w:t>
      </w:r>
    </w:p>
    <w:p w:rsidR="006908AE" w:rsidRPr="006908AE" w:rsidRDefault="006908AE" w:rsidP="006908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Si prevede l'adozione degli indicatori di qualità come per i settori dell'energia elettrica e del gas, ovvero: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l'accessibilità al servizio (AS), il tempo medio di attesa (TMA), e il livello del servizio (LS);</w:t>
      </w:r>
    </w:p>
    <w:p w:rsidR="006908AE" w:rsidRPr="006908AE" w:rsidRDefault="006908AE" w:rsidP="006908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Il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servizio di pronto intervento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dovrebbe essere raggiungibile telefonicamente, con modalità gratuite, 24 ore al giorno. Dovrebbe essere stabilito uno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standard generale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basato sul tempo massimo di risposta alle chiamate pervenute.</w:t>
      </w:r>
    </w:p>
    <w:p w:rsidR="006908AE" w:rsidRPr="006908AE" w:rsidRDefault="006908AE" w:rsidP="00690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08AE">
        <w:rPr>
          <w:rFonts w:ascii="Arial" w:eastAsia="Times New Roman" w:hAnsi="Arial" w:cs="Arial"/>
          <w:b/>
          <w:bCs/>
          <w:color w:val="003366"/>
          <w:sz w:val="18"/>
          <w:szCs w:val="18"/>
          <w:lang w:eastAsia="it-IT"/>
        </w:rPr>
        <w:t>5. Le </w:t>
      </w:r>
      <w:r w:rsidRPr="006908AE">
        <w:rPr>
          <w:rFonts w:ascii="Arial" w:eastAsia="Times New Roman" w:hAnsi="Arial" w:cs="Arial"/>
          <w:b/>
          <w:bCs/>
          <w:i/>
          <w:iCs/>
          <w:color w:val="003366"/>
          <w:sz w:val="18"/>
          <w:szCs w:val="18"/>
          <w:lang w:eastAsia="it-IT"/>
        </w:rPr>
        <w:t>richieste di informazioni</w:t>
      </w:r>
      <w:r w:rsidRPr="006908AE">
        <w:rPr>
          <w:rFonts w:ascii="Arial" w:eastAsia="Times New Roman" w:hAnsi="Arial" w:cs="Arial"/>
          <w:b/>
          <w:bCs/>
          <w:color w:val="003366"/>
          <w:sz w:val="18"/>
          <w:szCs w:val="18"/>
          <w:lang w:eastAsia="it-IT"/>
        </w:rPr>
        <w:t> 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</w:p>
    <w:p w:rsidR="006908AE" w:rsidRPr="006908AE" w:rsidRDefault="006908AE" w:rsidP="006908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L'Autorità è orientata ad adottare uno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standard specifico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per i tempi di risposta alle richieste scritte di informazioni, prevedendo il tetto massimo di 30 giorni solari e l'indicazione chiara del referente aziendale deputato a rispondere in caso di ulteriori chiarimenti;</w:t>
      </w:r>
    </w:p>
    <w:p w:rsidR="006908AE" w:rsidRPr="006908AE" w:rsidRDefault="006908AE" w:rsidP="006908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Con riguardo al livello minimo di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indennizzo automatico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in caso di mancato rispetto dello standard specifico, l'Autorità intende stabilire che esso non possa essere inferiore alla cifra di 20€, in analogia con quanto proposto per la risposta scritta ai reclami e quanto previsto per gli standard specifici dei settori dell'energia elettrica e del gas.</w:t>
      </w:r>
    </w:p>
    <w:p w:rsidR="006908AE" w:rsidRPr="006908AE" w:rsidRDefault="006908AE" w:rsidP="00690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08AE">
        <w:rPr>
          <w:rFonts w:ascii="Arial" w:eastAsia="Times New Roman" w:hAnsi="Arial" w:cs="Arial"/>
          <w:b/>
          <w:bCs/>
          <w:color w:val="003366"/>
          <w:sz w:val="18"/>
          <w:szCs w:val="18"/>
          <w:lang w:eastAsia="it-IT"/>
        </w:rPr>
        <w:t>6. La gestione dei </w:t>
      </w:r>
      <w:r w:rsidRPr="006908AE">
        <w:rPr>
          <w:rFonts w:ascii="Arial" w:eastAsia="Times New Roman" w:hAnsi="Arial" w:cs="Arial"/>
          <w:b/>
          <w:bCs/>
          <w:i/>
          <w:iCs/>
          <w:color w:val="003366"/>
          <w:sz w:val="18"/>
          <w:szCs w:val="18"/>
          <w:lang w:eastAsia="it-IT"/>
        </w:rPr>
        <w:t>reclami</w:t>
      </w:r>
      <w:r w:rsidRPr="006908AE">
        <w:rPr>
          <w:rFonts w:ascii="Arial" w:eastAsia="Times New Roman" w:hAnsi="Arial" w:cs="Arial"/>
          <w:b/>
          <w:bCs/>
          <w:color w:val="003366"/>
          <w:sz w:val="18"/>
          <w:szCs w:val="18"/>
          <w:lang w:eastAsia="it-IT"/>
        </w:rPr>
        <w:t> 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</w:p>
    <w:p w:rsidR="006908AE" w:rsidRPr="006908AE" w:rsidRDefault="006908AE" w:rsidP="006908A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3366"/>
          <w:sz w:val="18"/>
          <w:szCs w:val="18"/>
          <w:lang w:eastAsia="it-IT"/>
        </w:rPr>
      </w:pP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l'Autorità prevede 30 giorni solari come tempo massimo di risposta ai reclami scritti. Il mancato rispetto di tale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standard specifico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comporterà il pagamento di un </w:t>
      </w:r>
      <w:r w:rsidRPr="006908AE">
        <w:rPr>
          <w:rFonts w:ascii="Arial" w:eastAsia="Times New Roman" w:hAnsi="Arial" w:cs="Arial"/>
          <w:i/>
          <w:iCs/>
          <w:color w:val="003366"/>
          <w:sz w:val="18"/>
          <w:szCs w:val="18"/>
          <w:lang w:eastAsia="it-IT"/>
        </w:rPr>
        <w:t>indennizzo automatico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t> all'utente che potrebbe essere quantificato in 20€.</w:t>
      </w:r>
    </w:p>
    <w:p w:rsidR="00B76810" w:rsidRDefault="006908AE" w:rsidP="006908AE"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L'Autorità, al fine di garantire agli esercenti il tempo tecnico necessario ad implementare le misure proposte, intende rendere obbligatoria la nuova regolazione contrattuale dal 1 gennaio 2016, con un'apposita delibera da approvare nel corso del primo semestre del 2015.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Nello stesso semestre, inoltre, l'Autorità intende porre in consultazione le modalità e gli obblighi di comunicazione, registrazione e conservazione dei dati. 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Con un ulteriore successivo Documento di consultazione, che si prevede di emanare entro l'estate 2015,  verranno illustrati gli orientamenti sulla regolazione della continuità e dell'accessibilità del servizio, ivi inclusa quella afferente gli allacciamenti e l'attivazione della fornitura. 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I soggetti interessati possono far pervenire all'Autorità le proprie osservazioni sul Documento per la consultazione 665/2014/R/</w:t>
      </w:r>
      <w:proofErr w:type="spellStart"/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idr</w:t>
      </w:r>
      <w:proofErr w:type="spellEnd"/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 xml:space="preserve"> entro il 30 gennaio 2015.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 xml:space="preserve">La scheda ha carattere divulgativo e non </w:t>
      </w:r>
      <w:proofErr w:type="spellStart"/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provvedimentale</w:t>
      </w:r>
      <w:proofErr w:type="spellEnd"/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.</w:t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lang w:eastAsia="it-IT"/>
        </w:rPr>
        <w:br/>
      </w:r>
      <w:r w:rsidRPr="006908AE">
        <w:rPr>
          <w:rFonts w:ascii="Arial" w:eastAsia="Times New Roman" w:hAnsi="Arial" w:cs="Arial"/>
          <w:color w:val="003366"/>
          <w:sz w:val="18"/>
          <w:szCs w:val="18"/>
          <w:shd w:val="clear" w:color="auto" w:fill="FFFFFF"/>
          <w:lang w:eastAsia="it-IT"/>
        </w:rPr>
        <w:t>23 dicembre 2014</w:t>
      </w:r>
    </w:p>
    <w:sectPr w:rsidR="00B768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713BD"/>
    <w:multiLevelType w:val="multilevel"/>
    <w:tmpl w:val="D8106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165995"/>
    <w:multiLevelType w:val="multilevel"/>
    <w:tmpl w:val="E4F2D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9B6F80"/>
    <w:multiLevelType w:val="multilevel"/>
    <w:tmpl w:val="9CAC2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DF5361"/>
    <w:multiLevelType w:val="multilevel"/>
    <w:tmpl w:val="FDF0A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E5645F"/>
    <w:multiLevelType w:val="multilevel"/>
    <w:tmpl w:val="A9E64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BB7E6B"/>
    <w:multiLevelType w:val="multilevel"/>
    <w:tmpl w:val="2D8E1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E527FDA"/>
    <w:multiLevelType w:val="multilevel"/>
    <w:tmpl w:val="259C3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51E"/>
    <w:rsid w:val="006908AE"/>
    <w:rsid w:val="00C34328"/>
    <w:rsid w:val="00C6351E"/>
    <w:rsid w:val="00DE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6908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6908AE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apple-converted-space">
    <w:name w:val="apple-converted-space"/>
    <w:basedOn w:val="Carpredefinitoparagrafo"/>
    <w:rsid w:val="006908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6908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6908AE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apple-converted-space">
    <w:name w:val="apple-converted-space"/>
    <w:basedOn w:val="Carpredefinitoparagrafo"/>
    <w:rsid w:val="006908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87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947</Words>
  <Characters>5402</Characters>
  <Application>Microsoft Office Word</Application>
  <DocSecurity>0</DocSecurity>
  <Lines>45</Lines>
  <Paragraphs>12</Paragraphs>
  <ScaleCrop>false</ScaleCrop>
  <Company/>
  <LinksUpToDate>false</LinksUpToDate>
  <CharactersWithSpaces>6337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Di Bari</dc:creator>
  <cp:keywords/>
  <dc:description/>
  <cp:lastModifiedBy>Antonio Di Bari</cp:lastModifiedBy>
  <cp:revision>2</cp:revision>
  <dcterms:created xsi:type="dcterms:W3CDTF">2015-01-14T10:34:00Z</dcterms:created>
  <dcterms:modified xsi:type="dcterms:W3CDTF">2015-01-14T10:35:00Z</dcterms:modified>
</cp:coreProperties>
</file>