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C8C" w:rsidRPr="00F664E0" w:rsidRDefault="00F664E0" w:rsidP="00F664E0">
      <w:pPr>
        <w:jc w:val="center"/>
        <w:rPr>
          <w:b/>
          <w:sz w:val="24"/>
          <w:szCs w:val="24"/>
        </w:rPr>
      </w:pPr>
      <w:r w:rsidRPr="00F664E0">
        <w:rPr>
          <w:b/>
          <w:sz w:val="24"/>
          <w:szCs w:val="24"/>
        </w:rPr>
        <w:t>Il Consiglio Nazionale dell’ANCI</w:t>
      </w:r>
    </w:p>
    <w:p w:rsidR="00F664E0" w:rsidRDefault="00F664E0">
      <w:r w:rsidRPr="00F664E0">
        <w:rPr>
          <w:b/>
        </w:rPr>
        <w:t>Dato atto</w:t>
      </w:r>
      <w:r>
        <w:t xml:space="preserve"> che l’articolo 7 comma 1 lettera c), </w:t>
      </w:r>
      <w:proofErr w:type="spellStart"/>
      <w:r w:rsidR="00B97E33">
        <w:t>Dpr</w:t>
      </w:r>
      <w:proofErr w:type="spellEnd"/>
      <w:r w:rsidR="00B97E33">
        <w:t xml:space="preserve"> 361/57, prevede </w:t>
      </w:r>
      <w:r>
        <w:t xml:space="preserve"> </w:t>
      </w:r>
      <w:r w:rsidR="00B97E33">
        <w:t>l’ineleggibilità de</w:t>
      </w:r>
      <w:r>
        <w:t xml:space="preserve">i Sindaci dei Comuni con popolazione superiore a 20.000 abitanti alla carica di Parlamentare; </w:t>
      </w:r>
    </w:p>
    <w:p w:rsidR="00B97E33" w:rsidRDefault="00B97E33">
      <w:r>
        <w:t>considerato che tale previsione incide sull’articolo 48 della Costituzione che regola il diritto fondamentale di elettorato attivo e passivo per i cittadini italiani;</w:t>
      </w:r>
    </w:p>
    <w:p w:rsidR="00B97E33" w:rsidRDefault="00B97E33" w:rsidP="00F664E0">
      <w:pPr>
        <w:jc w:val="both"/>
      </w:pPr>
      <w:r>
        <w:t>Considerato che</w:t>
      </w:r>
      <w:r w:rsidR="00F664E0">
        <w:t xml:space="preserve"> tale fattispecie di ineleggibilità impedisce la prosecuzione delle attività relative al perseguimento degli obiettivi di mandato</w:t>
      </w:r>
      <w:r>
        <w:t>, mina la continuità dell’esercizio delle funzioni politico-amministrative e il buon andamento dell’azione amministrativa;</w:t>
      </w:r>
    </w:p>
    <w:p w:rsidR="00F664E0" w:rsidRDefault="00F664E0" w:rsidP="00F664E0">
      <w:pPr>
        <w:jc w:val="both"/>
      </w:pPr>
      <w:r>
        <w:t xml:space="preserve"> </w:t>
      </w:r>
      <w:r w:rsidR="00B97E33">
        <w:t xml:space="preserve">visto che tale forte limitazione sembra violare l’articolo 114 della Costituzione che sancisce il principio di </w:t>
      </w:r>
      <w:proofErr w:type="spellStart"/>
      <w:r w:rsidR="00B97E33">
        <w:t>equiordinazione</w:t>
      </w:r>
      <w:proofErr w:type="spellEnd"/>
      <w:r w:rsidR="00B97E33">
        <w:t xml:space="preserve"> fra i livelli di governo e fra gli organi di governo che li rappresentano;</w:t>
      </w:r>
    </w:p>
    <w:p w:rsidR="00F664E0" w:rsidRDefault="00F664E0"/>
    <w:p w:rsidR="00F664E0" w:rsidRPr="00F664E0" w:rsidRDefault="00F664E0" w:rsidP="00F664E0">
      <w:pPr>
        <w:jc w:val="center"/>
        <w:rPr>
          <w:b/>
          <w:sz w:val="24"/>
          <w:szCs w:val="24"/>
        </w:rPr>
      </w:pPr>
      <w:r w:rsidRPr="00F664E0">
        <w:rPr>
          <w:b/>
          <w:sz w:val="24"/>
          <w:szCs w:val="24"/>
        </w:rPr>
        <w:t>Tutto ciò premesso e dato atto</w:t>
      </w:r>
    </w:p>
    <w:p w:rsidR="00F664E0" w:rsidRPr="00F664E0" w:rsidRDefault="00F664E0">
      <w:pPr>
        <w:rPr>
          <w:b/>
          <w:sz w:val="24"/>
          <w:szCs w:val="24"/>
        </w:rPr>
      </w:pPr>
    </w:p>
    <w:p w:rsidR="00F664E0" w:rsidRPr="00F664E0" w:rsidRDefault="00F664E0" w:rsidP="00F664E0">
      <w:pPr>
        <w:jc w:val="center"/>
        <w:rPr>
          <w:b/>
          <w:sz w:val="24"/>
          <w:szCs w:val="24"/>
        </w:rPr>
      </w:pPr>
      <w:r w:rsidRPr="00F664E0">
        <w:rPr>
          <w:b/>
          <w:sz w:val="24"/>
          <w:szCs w:val="24"/>
        </w:rPr>
        <w:t>CHIEDE</w:t>
      </w:r>
    </w:p>
    <w:p w:rsidR="00F664E0" w:rsidRDefault="00F664E0" w:rsidP="00F664E0">
      <w:r>
        <w:t>A Governo e Parlamento di inserire –all’interno della nuova legge elettorale</w:t>
      </w:r>
      <w:r w:rsidR="00B97E33">
        <w:t xml:space="preserve"> o altro provvedimento utile </w:t>
      </w:r>
      <w:r>
        <w:t xml:space="preserve"> – una </w:t>
      </w:r>
      <w:r w:rsidR="00B97E33">
        <w:t>norma che elimini</w:t>
      </w:r>
      <w:r>
        <w:t xml:space="preserve"> l’ineleggibilità di cui all’articolo 7 comma 1 lettera c) del </w:t>
      </w:r>
      <w:proofErr w:type="spellStart"/>
      <w:r>
        <w:t>dpr</w:t>
      </w:r>
      <w:proofErr w:type="spellEnd"/>
      <w:r>
        <w:t xml:space="preserve"> 361/57, in</w:t>
      </w:r>
      <w:r w:rsidR="00B97E33">
        <w:t>troducendo</w:t>
      </w:r>
      <w:r>
        <w:t xml:space="preserve"> una forma di incompatibilità che consenta la prosecuzione e la realizzazione del programma di mandato e ai Sindaci di poter op</w:t>
      </w:r>
      <w:r w:rsidR="00B97E33">
        <w:t>tare</w:t>
      </w:r>
      <w:bookmarkStart w:id="0" w:name="_GoBack"/>
      <w:bookmarkEnd w:id="0"/>
      <w:r>
        <w:t xml:space="preserve">. </w:t>
      </w:r>
    </w:p>
    <w:sectPr w:rsidR="00F664E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4E0"/>
    <w:rsid w:val="00121443"/>
    <w:rsid w:val="00715183"/>
    <w:rsid w:val="00B97E33"/>
    <w:rsid w:val="00C07A26"/>
    <w:rsid w:val="00C14DF0"/>
    <w:rsid w:val="00DC6BAE"/>
    <w:rsid w:val="00F6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Dota</dc:creator>
  <cp:lastModifiedBy>Dota</cp:lastModifiedBy>
  <cp:revision>2</cp:revision>
  <dcterms:created xsi:type="dcterms:W3CDTF">2017-10-11T11:57:00Z</dcterms:created>
  <dcterms:modified xsi:type="dcterms:W3CDTF">2017-10-11T11:57:00Z</dcterms:modified>
</cp:coreProperties>
</file>