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14"/>
        <w:gridCol w:w="4814"/>
      </w:tblGrid>
      <w:tr w:rsidR="009F3155" w:rsidRPr="00A13C98" w:rsidTr="00CE6E1E">
        <w:tc>
          <w:tcPr>
            <w:tcW w:w="4814" w:type="dxa"/>
            <w:shd w:val="clear" w:color="auto" w:fill="auto"/>
            <w:vAlign w:val="center"/>
          </w:tcPr>
          <w:p w:rsidR="009F3155" w:rsidRPr="00A13C98" w:rsidRDefault="009F3155" w:rsidP="00A13C98">
            <w:pPr>
              <w:pStyle w:val="Default"/>
              <w:rPr>
                <w:rFonts w:ascii="Bookman Old Style" w:hAnsi="Bookman Old Style"/>
                <w:b/>
                <w:bCs/>
                <w:color w:val="auto"/>
                <w:sz w:val="22"/>
                <w:szCs w:val="22"/>
              </w:rPr>
            </w:pPr>
            <w:bookmarkStart w:id="0" w:name="_GoBack"/>
            <w:bookmarkEnd w:id="0"/>
            <w:r w:rsidRPr="00A13C98">
              <w:rPr>
                <w:rFonts w:ascii="Bookman Old Style" w:hAnsi="Bookman Old Style"/>
                <w:b/>
                <w:bCs/>
                <w:noProof/>
                <w:color w:val="auto"/>
                <w:sz w:val="22"/>
                <w:szCs w:val="22"/>
              </w:rPr>
              <w:drawing>
                <wp:inline distT="0" distB="0" distL="0" distR="0">
                  <wp:extent cx="657225" cy="1000125"/>
                  <wp:effectExtent l="0" t="0" r="9525" b="9525"/>
                  <wp:docPr id="3" name="Immagine 3" descr="logo%20anci%20dora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20anci%20dorato"/>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57225" cy="1000125"/>
                          </a:xfrm>
                          <a:prstGeom prst="rect">
                            <a:avLst/>
                          </a:prstGeom>
                          <a:noFill/>
                          <a:ln>
                            <a:noFill/>
                          </a:ln>
                        </pic:spPr>
                      </pic:pic>
                    </a:graphicData>
                  </a:graphic>
                </wp:inline>
              </w:drawing>
            </w:r>
          </w:p>
        </w:tc>
        <w:tc>
          <w:tcPr>
            <w:tcW w:w="4814" w:type="dxa"/>
            <w:shd w:val="clear" w:color="auto" w:fill="auto"/>
            <w:vAlign w:val="center"/>
          </w:tcPr>
          <w:p w:rsidR="009F3155" w:rsidRPr="00CE6E1E" w:rsidRDefault="009F3155" w:rsidP="009F3155">
            <w:pPr>
              <w:pStyle w:val="Default"/>
              <w:jc w:val="right"/>
              <w:rPr>
                <w:rFonts w:ascii="Bookman Old Style" w:hAnsi="Bookman Old Style"/>
                <w:b/>
                <w:bCs/>
                <w:color w:val="auto"/>
                <w:sz w:val="22"/>
                <w:szCs w:val="22"/>
              </w:rPr>
            </w:pPr>
            <w:r w:rsidRPr="00CE6E1E">
              <w:rPr>
                <w:rFonts w:ascii="Bookman Old Style" w:hAnsi="Bookman Old Style"/>
                <w:b/>
                <w:bCs/>
                <w:noProof/>
                <w:color w:val="auto"/>
                <w:sz w:val="22"/>
                <w:szCs w:val="22"/>
              </w:rPr>
              <w:drawing>
                <wp:inline distT="0" distB="0" distL="0" distR="0">
                  <wp:extent cx="792000" cy="661491"/>
                  <wp:effectExtent l="0" t="0" r="8255" b="571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2012 IFEL_Fondazione.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792000" cy="661491"/>
                          </a:xfrm>
                          <a:prstGeom prst="rect">
                            <a:avLst/>
                          </a:prstGeom>
                        </pic:spPr>
                      </pic:pic>
                    </a:graphicData>
                  </a:graphic>
                </wp:inline>
              </w:drawing>
            </w:r>
          </w:p>
        </w:tc>
      </w:tr>
    </w:tbl>
    <w:p w:rsidR="00733CDB" w:rsidRPr="00733CDB" w:rsidRDefault="00733CDB" w:rsidP="00733CDB">
      <w:pPr>
        <w:pStyle w:val="Default"/>
        <w:jc w:val="center"/>
        <w:rPr>
          <w:rFonts w:ascii="Bookman Old Style" w:hAnsi="Bookman Old Style"/>
          <w:b/>
          <w:bCs/>
          <w:color w:val="auto"/>
          <w:sz w:val="22"/>
          <w:szCs w:val="22"/>
        </w:rPr>
      </w:pPr>
    </w:p>
    <w:p w:rsidR="00733CDB" w:rsidRPr="00733CDB" w:rsidRDefault="00733CDB" w:rsidP="00733CDB">
      <w:pPr>
        <w:pStyle w:val="Default"/>
        <w:jc w:val="center"/>
        <w:rPr>
          <w:rFonts w:ascii="Bookman Old Style" w:hAnsi="Bookman Old Style"/>
          <w:b/>
          <w:bCs/>
          <w:color w:val="auto"/>
          <w:sz w:val="22"/>
          <w:szCs w:val="22"/>
        </w:rPr>
      </w:pPr>
    </w:p>
    <w:p w:rsidR="00733CDB" w:rsidRPr="00733CDB" w:rsidRDefault="00733CDB" w:rsidP="00733CDB">
      <w:pPr>
        <w:pStyle w:val="Default"/>
        <w:jc w:val="center"/>
        <w:rPr>
          <w:rFonts w:ascii="Bookman Old Style" w:hAnsi="Bookman Old Style"/>
          <w:b/>
          <w:bCs/>
          <w:color w:val="auto"/>
          <w:sz w:val="22"/>
          <w:szCs w:val="22"/>
        </w:rPr>
      </w:pPr>
    </w:p>
    <w:p w:rsidR="00733CDB" w:rsidRPr="00733CDB" w:rsidRDefault="00733CDB" w:rsidP="00733CDB">
      <w:pPr>
        <w:pStyle w:val="Default"/>
        <w:jc w:val="center"/>
        <w:rPr>
          <w:rFonts w:ascii="Bookman Old Style" w:hAnsi="Bookman Old Style"/>
          <w:b/>
          <w:bCs/>
          <w:color w:val="auto"/>
          <w:sz w:val="22"/>
          <w:szCs w:val="22"/>
        </w:rPr>
      </w:pPr>
    </w:p>
    <w:p w:rsidR="00733CDB" w:rsidRDefault="00733CDB" w:rsidP="00733CDB">
      <w:pPr>
        <w:pStyle w:val="Default"/>
        <w:jc w:val="center"/>
        <w:rPr>
          <w:rFonts w:ascii="Bookman Old Style" w:hAnsi="Bookman Old Style"/>
          <w:b/>
          <w:bCs/>
          <w:color w:val="auto"/>
          <w:sz w:val="22"/>
          <w:szCs w:val="22"/>
        </w:rPr>
      </w:pPr>
    </w:p>
    <w:p w:rsidR="00180EB8" w:rsidRDefault="00180EB8" w:rsidP="00733CDB">
      <w:pPr>
        <w:pStyle w:val="Default"/>
        <w:jc w:val="center"/>
        <w:rPr>
          <w:rFonts w:ascii="Bookman Old Style" w:hAnsi="Bookman Old Style"/>
          <w:b/>
          <w:bCs/>
          <w:color w:val="auto"/>
          <w:sz w:val="22"/>
          <w:szCs w:val="22"/>
        </w:rPr>
      </w:pPr>
    </w:p>
    <w:p w:rsidR="00180EB8" w:rsidRDefault="00180EB8" w:rsidP="00733CDB">
      <w:pPr>
        <w:pStyle w:val="Default"/>
        <w:jc w:val="center"/>
        <w:rPr>
          <w:rFonts w:ascii="Bookman Old Style" w:hAnsi="Bookman Old Style"/>
          <w:b/>
          <w:bCs/>
          <w:color w:val="auto"/>
          <w:sz w:val="22"/>
          <w:szCs w:val="22"/>
        </w:rPr>
      </w:pPr>
    </w:p>
    <w:p w:rsidR="00733CDB" w:rsidRPr="00DA3892" w:rsidRDefault="00733CDB" w:rsidP="00733CDB">
      <w:pPr>
        <w:pStyle w:val="Default"/>
        <w:jc w:val="center"/>
        <w:rPr>
          <w:rFonts w:ascii="Bookman Old Style" w:hAnsi="Bookman Old Style"/>
          <w:b/>
          <w:bCs/>
          <w:color w:val="auto"/>
        </w:rPr>
      </w:pPr>
    </w:p>
    <w:p w:rsidR="00733CDB" w:rsidRPr="00DA3892" w:rsidRDefault="009F3155" w:rsidP="00733CDB">
      <w:pPr>
        <w:jc w:val="center"/>
        <w:rPr>
          <w:rFonts w:ascii="Bookman Old Style" w:hAnsi="Bookman Old Style"/>
          <w:b/>
          <w:sz w:val="24"/>
          <w:szCs w:val="24"/>
        </w:rPr>
      </w:pPr>
      <w:bookmarkStart w:id="1" w:name="_Toc496180937"/>
      <w:bookmarkStart w:id="2" w:name="_Toc496181216"/>
      <w:r>
        <w:rPr>
          <w:rFonts w:ascii="Bookman Old Style" w:hAnsi="Bookman Old Style"/>
          <w:b/>
          <w:sz w:val="24"/>
          <w:szCs w:val="24"/>
        </w:rPr>
        <w:t>D</w:t>
      </w:r>
      <w:r w:rsidR="00733CDB" w:rsidRPr="00DA3892">
        <w:rPr>
          <w:rFonts w:ascii="Bookman Old Style" w:hAnsi="Bookman Old Style"/>
          <w:b/>
          <w:sz w:val="24"/>
          <w:szCs w:val="24"/>
        </w:rPr>
        <w:t xml:space="preserve">ecreto-legge 16 ottobre 2017, n. 148, recante </w:t>
      </w:r>
      <w:r w:rsidR="00377212">
        <w:rPr>
          <w:rFonts w:ascii="Bookman Old Style" w:hAnsi="Bookman Old Style"/>
          <w:b/>
          <w:sz w:val="24"/>
          <w:szCs w:val="24"/>
        </w:rPr>
        <w:br/>
      </w:r>
      <w:r w:rsidR="00733CDB" w:rsidRPr="00DA3892">
        <w:rPr>
          <w:rFonts w:ascii="Bookman Old Style" w:hAnsi="Bookman Old Style"/>
          <w:b/>
          <w:sz w:val="24"/>
          <w:szCs w:val="24"/>
        </w:rPr>
        <w:t>“</w:t>
      </w:r>
      <w:r w:rsidR="00733CDB" w:rsidRPr="00DA3892">
        <w:rPr>
          <w:rFonts w:ascii="Bookman Old Style" w:hAnsi="Bookman Old Style"/>
          <w:b/>
          <w:i/>
          <w:sz w:val="24"/>
          <w:szCs w:val="24"/>
        </w:rPr>
        <w:t>Disposizioni urgenti in materia finanziaria e per esigenze indifferibili</w:t>
      </w:r>
      <w:bookmarkEnd w:id="1"/>
      <w:bookmarkEnd w:id="2"/>
      <w:r w:rsidR="00733CDB" w:rsidRPr="00DA3892">
        <w:rPr>
          <w:rFonts w:ascii="Bookman Old Style" w:hAnsi="Bookman Old Style"/>
          <w:b/>
          <w:sz w:val="24"/>
          <w:szCs w:val="24"/>
        </w:rPr>
        <w:t>”</w:t>
      </w:r>
    </w:p>
    <w:p w:rsidR="00733CDB" w:rsidRPr="00DA3892" w:rsidRDefault="00CE6E1E" w:rsidP="00733CDB">
      <w:pPr>
        <w:pStyle w:val="Default"/>
        <w:jc w:val="center"/>
        <w:rPr>
          <w:rFonts w:ascii="Bookman Old Style" w:hAnsi="Bookman Old Style"/>
          <w:b/>
          <w:bCs/>
          <w:color w:val="auto"/>
        </w:rPr>
      </w:pPr>
      <w:r>
        <w:rPr>
          <w:rFonts w:ascii="Bookman Old Style" w:hAnsi="Bookman Old Style"/>
          <w:b/>
        </w:rPr>
        <w:t xml:space="preserve">convertito con Legge </w:t>
      </w:r>
      <w:r w:rsidRPr="009F2BD0">
        <w:rPr>
          <w:rFonts w:ascii="Bookman Old Style" w:hAnsi="Bookman Old Style"/>
          <w:b/>
        </w:rPr>
        <w:t>4 dicembre 2017, n. 172</w:t>
      </w:r>
    </w:p>
    <w:p w:rsidR="00733CDB" w:rsidRPr="00DA3892" w:rsidRDefault="00733CDB" w:rsidP="00733CDB">
      <w:pPr>
        <w:pStyle w:val="Default"/>
        <w:jc w:val="center"/>
        <w:rPr>
          <w:rFonts w:ascii="Bookman Old Style" w:hAnsi="Bookman Old Style"/>
          <w:b/>
          <w:bCs/>
          <w:color w:val="auto"/>
        </w:rPr>
      </w:pPr>
    </w:p>
    <w:p w:rsidR="00733CDB" w:rsidRPr="00DA3892" w:rsidRDefault="00733CDB" w:rsidP="00733CDB">
      <w:pPr>
        <w:pStyle w:val="Default"/>
        <w:jc w:val="center"/>
        <w:rPr>
          <w:rFonts w:ascii="Bookman Old Style" w:hAnsi="Bookman Old Style"/>
          <w:b/>
          <w:bCs/>
          <w:color w:val="auto"/>
        </w:rPr>
      </w:pPr>
    </w:p>
    <w:p w:rsidR="00CE6E1E" w:rsidRDefault="00CE6E1E" w:rsidP="00733CDB">
      <w:pPr>
        <w:pStyle w:val="Titolo2"/>
        <w:jc w:val="center"/>
        <w:rPr>
          <w:rFonts w:ascii="Bookman Old Style" w:hAnsi="Bookman Old Style"/>
          <w:color w:val="auto"/>
          <w:sz w:val="24"/>
          <w:szCs w:val="24"/>
        </w:rPr>
      </w:pPr>
    </w:p>
    <w:p w:rsidR="00574474" w:rsidRDefault="00574474" w:rsidP="00574474"/>
    <w:p w:rsidR="00574474" w:rsidRPr="00574474" w:rsidRDefault="00574474" w:rsidP="00574474"/>
    <w:p w:rsidR="00CE6E1E" w:rsidRPr="00CE6E1E" w:rsidRDefault="00CE6E1E" w:rsidP="00CE6E1E">
      <w:pPr>
        <w:pStyle w:val="Default"/>
        <w:jc w:val="center"/>
        <w:rPr>
          <w:rFonts w:ascii="Bookman Old Style" w:hAnsi="Bookman Old Style"/>
          <w:b/>
          <w:bCs/>
          <w:color w:val="auto"/>
          <w:sz w:val="32"/>
          <w:szCs w:val="22"/>
        </w:rPr>
      </w:pPr>
      <w:proofErr w:type="spellStart"/>
      <w:r w:rsidRPr="00CE6E1E">
        <w:rPr>
          <w:rFonts w:ascii="Bookman Old Style" w:hAnsi="Bookman Old Style"/>
          <w:b/>
          <w:bCs/>
          <w:color w:val="auto"/>
          <w:sz w:val="32"/>
          <w:szCs w:val="22"/>
        </w:rPr>
        <w:t>DL</w:t>
      </w:r>
      <w:proofErr w:type="spellEnd"/>
      <w:r w:rsidRPr="00CE6E1E">
        <w:rPr>
          <w:rFonts w:ascii="Bookman Old Style" w:hAnsi="Bookman Old Style"/>
          <w:b/>
          <w:bCs/>
          <w:color w:val="auto"/>
          <w:sz w:val="32"/>
          <w:szCs w:val="22"/>
        </w:rPr>
        <w:t xml:space="preserve"> “Fiscale”</w:t>
      </w:r>
    </w:p>
    <w:p w:rsidR="00CE6E1E" w:rsidRDefault="00CE6E1E" w:rsidP="00733CDB">
      <w:pPr>
        <w:pStyle w:val="Titolo2"/>
        <w:jc w:val="center"/>
        <w:rPr>
          <w:rFonts w:ascii="Bookman Old Style" w:hAnsi="Bookman Old Style"/>
          <w:color w:val="auto"/>
          <w:sz w:val="24"/>
          <w:szCs w:val="24"/>
        </w:rPr>
      </w:pPr>
    </w:p>
    <w:p w:rsidR="00CE6E1E" w:rsidRDefault="00CE6E1E" w:rsidP="00733CDB">
      <w:pPr>
        <w:pStyle w:val="Titolo2"/>
        <w:jc w:val="center"/>
        <w:rPr>
          <w:rFonts w:ascii="Bookman Old Style" w:hAnsi="Bookman Old Style"/>
          <w:color w:val="auto"/>
          <w:sz w:val="24"/>
          <w:szCs w:val="24"/>
        </w:rPr>
      </w:pPr>
    </w:p>
    <w:p w:rsidR="00733CDB" w:rsidRPr="00377212" w:rsidRDefault="00733CDB" w:rsidP="00733CDB">
      <w:pPr>
        <w:pStyle w:val="Titolo2"/>
        <w:jc w:val="center"/>
        <w:rPr>
          <w:rFonts w:ascii="Bookman Old Style" w:hAnsi="Bookman Old Style"/>
          <w:color w:val="auto"/>
          <w:sz w:val="28"/>
          <w:szCs w:val="24"/>
        </w:rPr>
      </w:pPr>
      <w:r w:rsidRPr="00377212">
        <w:rPr>
          <w:rFonts w:ascii="Bookman Old Style" w:hAnsi="Bookman Old Style"/>
          <w:color w:val="auto"/>
          <w:sz w:val="28"/>
          <w:szCs w:val="24"/>
        </w:rPr>
        <w:t xml:space="preserve">NOTA </w:t>
      </w:r>
      <w:proofErr w:type="spellStart"/>
      <w:r w:rsidR="00A8109D" w:rsidRPr="00377212">
        <w:rPr>
          <w:rFonts w:ascii="Bookman Old Style" w:hAnsi="Bookman Old Style"/>
          <w:color w:val="auto"/>
          <w:sz w:val="28"/>
          <w:szCs w:val="24"/>
        </w:rPr>
        <w:t>DI</w:t>
      </w:r>
      <w:proofErr w:type="spellEnd"/>
      <w:r w:rsidR="00A8109D" w:rsidRPr="00377212">
        <w:rPr>
          <w:rFonts w:ascii="Bookman Old Style" w:hAnsi="Bookman Old Style"/>
          <w:color w:val="auto"/>
          <w:sz w:val="28"/>
          <w:szCs w:val="24"/>
        </w:rPr>
        <w:t xml:space="preserve"> LETTURA</w:t>
      </w:r>
    </w:p>
    <w:p w:rsidR="00733CDB" w:rsidRPr="00A8109D" w:rsidRDefault="00733CDB" w:rsidP="00733CDB">
      <w:pPr>
        <w:rPr>
          <w:rFonts w:ascii="Bookman Old Style" w:hAnsi="Bookman Old Style"/>
          <w:sz w:val="28"/>
          <w:szCs w:val="28"/>
        </w:rPr>
      </w:pPr>
    </w:p>
    <w:p w:rsidR="00733CDB" w:rsidRPr="00733CDB" w:rsidRDefault="00733CDB">
      <w:pPr>
        <w:rPr>
          <w:rFonts w:ascii="Bookman Old Style" w:hAnsi="Bookman Old Style"/>
        </w:rPr>
      </w:pPr>
      <w:r w:rsidRPr="00733CDB">
        <w:rPr>
          <w:rFonts w:ascii="Bookman Old Style" w:hAnsi="Bookman Old Style"/>
        </w:rPr>
        <w:br w:type="page"/>
      </w:r>
    </w:p>
    <w:p w:rsidR="00733CDB" w:rsidRPr="00733CDB" w:rsidRDefault="00A8109D" w:rsidP="00733CDB">
      <w:pPr>
        <w:rPr>
          <w:rFonts w:ascii="Bookman Old Style" w:hAnsi="Bookman Old Style"/>
          <w:b/>
        </w:rPr>
      </w:pPr>
      <w:r>
        <w:rPr>
          <w:rFonts w:ascii="Bookman Old Style" w:hAnsi="Bookman Old Style"/>
          <w:b/>
        </w:rPr>
        <w:lastRenderedPageBreak/>
        <w:t>PREMESSA</w:t>
      </w:r>
    </w:p>
    <w:p w:rsidR="00733CDB" w:rsidRPr="00377212" w:rsidRDefault="00733CDB" w:rsidP="00377212">
      <w:pPr>
        <w:spacing w:after="120" w:line="240" w:lineRule="auto"/>
        <w:jc w:val="both"/>
        <w:rPr>
          <w:rFonts w:ascii="Bookman Old Style" w:hAnsi="Bookman Old Style"/>
        </w:rPr>
      </w:pPr>
      <w:r w:rsidRPr="00733CDB">
        <w:rPr>
          <w:rFonts w:ascii="Bookman Old Style" w:hAnsi="Bookman Old Style"/>
        </w:rPr>
        <w:t>Il decreto legge 16 ottobre 2017, n. 148, recante “Disposizioni urgenti in materia finanziaria e per esigenze indifferibili” è stato approvato dalla commissione bilancio del Senato il 15 novembre.</w:t>
      </w:r>
      <w:r>
        <w:rPr>
          <w:rFonts w:ascii="Bookman Old Style" w:hAnsi="Bookman Old Style"/>
        </w:rPr>
        <w:t xml:space="preserve"> </w:t>
      </w:r>
      <w:r w:rsidRPr="00733CDB">
        <w:rPr>
          <w:rFonts w:ascii="Bookman Old Style" w:hAnsi="Bookman Old Style"/>
        </w:rPr>
        <w:t xml:space="preserve">In Aula il Governo ha presentato </w:t>
      </w:r>
      <w:r w:rsidR="001272EE">
        <w:rPr>
          <w:rFonts w:ascii="Bookman Old Style" w:hAnsi="Bookman Old Style"/>
        </w:rPr>
        <w:t>il</w:t>
      </w:r>
      <w:r w:rsidRPr="00733CDB">
        <w:rPr>
          <w:rFonts w:ascii="Bookman Old Style" w:hAnsi="Bookman Old Style"/>
        </w:rPr>
        <w:t xml:space="preserve"> maxiemendamento </w:t>
      </w:r>
      <w:r w:rsidR="001272EE">
        <w:rPr>
          <w:rFonts w:ascii="Bookman Old Style" w:hAnsi="Bookman Old Style"/>
        </w:rPr>
        <w:t xml:space="preserve">1.900 </w:t>
      </w:r>
      <w:r w:rsidRPr="00733CDB">
        <w:rPr>
          <w:rFonts w:ascii="Bookman Old Style" w:hAnsi="Bookman Old Style"/>
        </w:rPr>
        <w:t xml:space="preserve">sul quale è stata </w:t>
      </w:r>
      <w:r w:rsidRPr="00377212">
        <w:rPr>
          <w:rFonts w:ascii="Bookman Old Style" w:hAnsi="Bookman Old Style"/>
        </w:rPr>
        <w:t>posta la questione di fiducia che è stata approvata il 16 novembre.</w:t>
      </w:r>
    </w:p>
    <w:p w:rsidR="00733CDB" w:rsidRPr="00377212" w:rsidRDefault="00377212" w:rsidP="00377212">
      <w:pPr>
        <w:spacing w:after="120" w:line="240" w:lineRule="auto"/>
        <w:jc w:val="both"/>
        <w:rPr>
          <w:rFonts w:ascii="Bookman Old Style" w:hAnsi="Bookman Old Style"/>
        </w:rPr>
      </w:pPr>
      <w:r w:rsidRPr="00377212">
        <w:rPr>
          <w:rFonts w:ascii="Bookman Old Style" w:hAnsi="Bookman Old Style"/>
        </w:rPr>
        <w:t xml:space="preserve">Il decreto è poi </w:t>
      </w:r>
      <w:r w:rsidR="00356995" w:rsidRPr="00377212">
        <w:rPr>
          <w:rFonts w:ascii="Bookman Old Style" w:hAnsi="Bookman Old Style"/>
        </w:rPr>
        <w:t xml:space="preserve">stato </w:t>
      </w:r>
      <w:r w:rsidR="00CE6E1E" w:rsidRPr="00377212">
        <w:rPr>
          <w:rFonts w:ascii="Bookman Old Style" w:hAnsi="Bookman Old Style"/>
        </w:rPr>
        <w:t xml:space="preserve">convertito </w:t>
      </w:r>
      <w:r w:rsidR="00356995" w:rsidRPr="00377212">
        <w:rPr>
          <w:rFonts w:ascii="Bookman Old Style" w:hAnsi="Bookman Old Style"/>
        </w:rPr>
        <w:t xml:space="preserve">definitivamente </w:t>
      </w:r>
      <w:r w:rsidR="00CE6E1E" w:rsidRPr="00377212">
        <w:rPr>
          <w:rFonts w:ascii="Bookman Old Style" w:hAnsi="Bookman Old Style"/>
        </w:rPr>
        <w:t xml:space="preserve">con </w:t>
      </w:r>
      <w:r w:rsidR="00356995" w:rsidRPr="00377212">
        <w:rPr>
          <w:rFonts w:ascii="Bookman Old Style" w:hAnsi="Bookman Old Style"/>
        </w:rPr>
        <w:t xml:space="preserve">legge </w:t>
      </w:r>
      <w:r w:rsidR="009F2BD0" w:rsidRPr="00377212">
        <w:rPr>
          <w:rFonts w:ascii="Bookman Old Style" w:hAnsi="Bookman Old Style"/>
        </w:rPr>
        <w:t>n. 172 del 4 dicembre 2017, pubblicata in Gazzetta Uffici</w:t>
      </w:r>
      <w:r w:rsidR="00180EB8" w:rsidRPr="00377212">
        <w:rPr>
          <w:rFonts w:ascii="Bookman Old Style" w:hAnsi="Bookman Old Style"/>
        </w:rPr>
        <w:t>a</w:t>
      </w:r>
      <w:r w:rsidR="009F2BD0" w:rsidRPr="00377212">
        <w:rPr>
          <w:rFonts w:ascii="Bookman Old Style" w:hAnsi="Bookman Old Style"/>
        </w:rPr>
        <w:t>le il 5 dicembre 2017.</w:t>
      </w:r>
      <w:r w:rsidR="00180EB8" w:rsidRPr="00377212">
        <w:rPr>
          <w:rFonts w:ascii="Bookman Old Style" w:hAnsi="Bookman Old Style"/>
        </w:rPr>
        <w:t xml:space="preserve"> </w:t>
      </w:r>
      <w:r w:rsidR="00733CDB" w:rsidRPr="00377212">
        <w:rPr>
          <w:rFonts w:ascii="Bookman Old Style" w:hAnsi="Bookman Old Style"/>
        </w:rPr>
        <w:t xml:space="preserve">Di seguito </w:t>
      </w:r>
      <w:r w:rsidR="00CE6E1E" w:rsidRPr="00377212">
        <w:rPr>
          <w:rFonts w:ascii="Bookman Old Style" w:hAnsi="Bookman Old Style"/>
        </w:rPr>
        <w:t xml:space="preserve">la </w:t>
      </w:r>
      <w:r w:rsidR="00733CDB" w:rsidRPr="00377212">
        <w:rPr>
          <w:rFonts w:ascii="Bookman Old Style" w:hAnsi="Bookman Old Style"/>
        </w:rPr>
        <w:t xml:space="preserve">nota di lettura </w:t>
      </w:r>
      <w:r w:rsidR="0031592E" w:rsidRPr="00377212">
        <w:rPr>
          <w:rFonts w:ascii="Bookman Old Style" w:hAnsi="Bookman Old Style"/>
        </w:rPr>
        <w:t xml:space="preserve">sintetica </w:t>
      </w:r>
      <w:r w:rsidR="00733CDB" w:rsidRPr="00377212">
        <w:rPr>
          <w:rFonts w:ascii="Bookman Old Style" w:hAnsi="Bookman Old Style"/>
        </w:rPr>
        <w:t>sugli articoli di maggior interesse per i Comuni.</w:t>
      </w:r>
    </w:p>
    <w:p w:rsidR="00733CDB" w:rsidRPr="00733CDB" w:rsidRDefault="00733CDB" w:rsidP="00377212">
      <w:pPr>
        <w:shd w:val="clear" w:color="auto" w:fill="FFFFFF"/>
        <w:spacing w:after="120" w:line="240" w:lineRule="auto"/>
        <w:jc w:val="both"/>
        <w:outlineLvl w:val="2"/>
        <w:rPr>
          <w:rFonts w:ascii="Bookman Old Style" w:eastAsia="Times New Roman" w:hAnsi="Bookman Old Style" w:cs="Times New Roman"/>
          <w:b/>
          <w:bCs/>
          <w:color w:val="000000"/>
        </w:rPr>
      </w:pPr>
    </w:p>
    <w:p w:rsidR="00CD1AA0" w:rsidRPr="00733CDB" w:rsidRDefault="00CD1AA0" w:rsidP="00A8109D">
      <w:pPr>
        <w:shd w:val="clear" w:color="auto" w:fill="FFFFFF"/>
        <w:spacing w:after="0" w:line="240" w:lineRule="auto"/>
        <w:jc w:val="center"/>
        <w:outlineLvl w:val="2"/>
        <w:rPr>
          <w:rFonts w:ascii="Bookman Old Style" w:eastAsia="Times New Roman" w:hAnsi="Bookman Old Style" w:cs="Times New Roman"/>
          <w:b/>
          <w:bCs/>
          <w:color w:val="000000"/>
        </w:rPr>
      </w:pPr>
      <w:r w:rsidRPr="00CD1AA0">
        <w:rPr>
          <w:rFonts w:ascii="Bookman Old Style" w:eastAsia="Times New Roman" w:hAnsi="Bookman Old Style" w:cs="Times New Roman"/>
          <w:b/>
          <w:bCs/>
          <w:color w:val="000000"/>
        </w:rPr>
        <w:t>Articolo 1</w:t>
      </w:r>
    </w:p>
    <w:p w:rsidR="00CD1AA0" w:rsidRPr="00733CDB" w:rsidRDefault="00CD1AA0" w:rsidP="00A8109D">
      <w:pPr>
        <w:shd w:val="clear" w:color="auto" w:fill="FFFFFF"/>
        <w:spacing w:after="0" w:line="240" w:lineRule="auto"/>
        <w:jc w:val="center"/>
        <w:outlineLvl w:val="2"/>
        <w:rPr>
          <w:rFonts w:ascii="Bookman Old Style" w:eastAsia="Times New Roman" w:hAnsi="Bookman Old Style" w:cs="Times New Roman"/>
          <w:b/>
          <w:bCs/>
          <w:i/>
          <w:iCs/>
          <w:color w:val="000000"/>
        </w:rPr>
      </w:pPr>
      <w:r w:rsidRPr="00CD1AA0">
        <w:rPr>
          <w:rFonts w:ascii="Bookman Old Style" w:eastAsia="Times New Roman" w:hAnsi="Bookman Old Style" w:cs="Times New Roman"/>
          <w:b/>
          <w:bCs/>
          <w:i/>
          <w:iCs/>
          <w:color w:val="000000"/>
        </w:rPr>
        <w:t>(Estensione della definizione agevolata dei carichi fiscali)</w:t>
      </w:r>
    </w:p>
    <w:p w:rsidR="00CD1AA0" w:rsidRPr="00CD1AA0" w:rsidRDefault="00CD1AA0" w:rsidP="00377212">
      <w:pPr>
        <w:shd w:val="clear" w:color="auto" w:fill="FFFFFF"/>
        <w:spacing w:after="120" w:line="240" w:lineRule="auto"/>
        <w:ind w:left="23"/>
        <w:jc w:val="both"/>
        <w:rPr>
          <w:rFonts w:ascii="Bookman Old Style" w:eastAsia="Times New Roman" w:hAnsi="Bookman Old Style" w:cs="Times New Roman"/>
          <w:color w:val="000000"/>
        </w:rPr>
      </w:pPr>
      <w:r w:rsidRPr="00CD1AA0">
        <w:rPr>
          <w:rFonts w:ascii="Bookman Old Style" w:eastAsia="Times New Roman" w:hAnsi="Bookman Old Style" w:cs="Times New Roman"/>
          <w:color w:val="000000"/>
        </w:rPr>
        <w:t>L’</w:t>
      </w:r>
      <w:r w:rsidRPr="00CD1AA0">
        <w:rPr>
          <w:rFonts w:ascii="Bookman Old Style" w:eastAsia="Times New Roman" w:hAnsi="Bookman Old Style" w:cs="Times New Roman"/>
          <w:b/>
          <w:bCs/>
          <w:color w:val="000000"/>
        </w:rPr>
        <w:t xml:space="preserve">articolo 1 </w:t>
      </w:r>
      <w:r w:rsidRPr="00CD1AA0">
        <w:rPr>
          <w:rFonts w:ascii="Bookman Old Style" w:eastAsia="Times New Roman" w:hAnsi="Bookman Old Style" w:cs="Times New Roman"/>
          <w:color w:val="000000"/>
        </w:rPr>
        <w:t xml:space="preserve">del provvedimento, modificato </w:t>
      </w:r>
      <w:r w:rsidR="00AB79DF">
        <w:rPr>
          <w:rFonts w:ascii="Bookman Old Style" w:eastAsia="Times New Roman" w:hAnsi="Bookman Old Style" w:cs="Times New Roman"/>
          <w:color w:val="000000"/>
        </w:rPr>
        <w:t xml:space="preserve">durante l’esame in commissione bilancio: </w:t>
      </w:r>
    </w:p>
    <w:p w:rsidR="00CD1AA0" w:rsidRPr="00E10F86" w:rsidRDefault="00CD1AA0" w:rsidP="00377212">
      <w:pPr>
        <w:pStyle w:val="Paragrafoelenco"/>
        <w:numPr>
          <w:ilvl w:val="0"/>
          <w:numId w:val="11"/>
        </w:numPr>
        <w:shd w:val="clear" w:color="auto" w:fill="FFFFFF"/>
        <w:spacing w:after="120" w:line="240" w:lineRule="auto"/>
        <w:ind w:left="426" w:hanging="426"/>
        <w:jc w:val="both"/>
        <w:rPr>
          <w:rFonts w:ascii="Bookman Old Style" w:eastAsia="Times New Roman" w:hAnsi="Bookman Old Style" w:cs="Times New Roman"/>
          <w:color w:val="000000"/>
        </w:rPr>
      </w:pPr>
      <w:r w:rsidRPr="00E10F86">
        <w:rPr>
          <w:rFonts w:ascii="Bookman Old Style" w:eastAsia="Times New Roman" w:hAnsi="Bookman Old Style" w:cs="Times New Roman"/>
          <w:color w:val="000000"/>
        </w:rPr>
        <w:t xml:space="preserve">proroga dal 30 novembre al </w:t>
      </w:r>
      <w:r w:rsidRPr="00E10F86">
        <w:rPr>
          <w:rFonts w:ascii="Bookman Old Style" w:eastAsia="Times New Roman" w:hAnsi="Bookman Old Style" w:cs="Times New Roman"/>
          <w:b/>
          <w:bCs/>
          <w:color w:val="000000"/>
        </w:rPr>
        <w:t>7 dicembre 2017</w:t>
      </w:r>
      <w:r w:rsidRPr="00E10F86">
        <w:rPr>
          <w:rFonts w:ascii="Bookman Old Style" w:eastAsia="Times New Roman" w:hAnsi="Bookman Old Style" w:cs="Times New Roman"/>
          <w:color w:val="000000"/>
        </w:rPr>
        <w:t xml:space="preserve"> </w:t>
      </w:r>
      <w:r w:rsidR="00AB79DF" w:rsidRPr="00E10F86">
        <w:rPr>
          <w:rFonts w:ascii="Bookman Old Style" w:eastAsia="Times New Roman" w:hAnsi="Bookman Old Style" w:cs="Times New Roman"/>
          <w:color w:val="000000"/>
        </w:rPr>
        <w:t>il</w:t>
      </w:r>
      <w:r w:rsidRPr="00E10F86">
        <w:rPr>
          <w:rFonts w:ascii="Bookman Old Style" w:eastAsia="Times New Roman" w:hAnsi="Bookman Old Style" w:cs="Times New Roman"/>
          <w:color w:val="000000"/>
        </w:rPr>
        <w:t xml:space="preserve"> termine per il pagamento delle rate, riferite al 2017, in cui può essere dilazionato il pagamento delle somme necessario per aderire alla </w:t>
      </w:r>
      <w:r w:rsidRPr="00E10F86">
        <w:rPr>
          <w:rFonts w:ascii="Bookman Old Style" w:eastAsia="Times New Roman" w:hAnsi="Bookman Old Style" w:cs="Times New Roman"/>
          <w:b/>
          <w:bCs/>
          <w:color w:val="000000"/>
        </w:rPr>
        <w:t>definizione agevolata</w:t>
      </w:r>
      <w:r w:rsidRPr="00E10F86">
        <w:rPr>
          <w:rFonts w:ascii="Bookman Old Style" w:eastAsia="Times New Roman" w:hAnsi="Bookman Old Style" w:cs="Times New Roman"/>
          <w:color w:val="000000"/>
        </w:rPr>
        <w:t xml:space="preserve"> dei </w:t>
      </w:r>
      <w:r w:rsidRPr="00E10F86">
        <w:rPr>
          <w:rFonts w:ascii="Bookman Old Style" w:eastAsia="Times New Roman" w:hAnsi="Bookman Old Style" w:cs="Times New Roman"/>
          <w:b/>
          <w:bCs/>
          <w:color w:val="000000"/>
        </w:rPr>
        <w:t>carichi pendenti</w:t>
      </w:r>
      <w:r w:rsidRPr="00E10F86">
        <w:rPr>
          <w:rFonts w:ascii="Bookman Old Style" w:eastAsia="Times New Roman" w:hAnsi="Bookman Old Style" w:cs="Times New Roman"/>
          <w:color w:val="000000"/>
        </w:rPr>
        <w:t xml:space="preserve"> per l’anno 2017, (</w:t>
      </w:r>
      <w:r w:rsidRPr="00E10F86">
        <w:rPr>
          <w:rFonts w:ascii="Bookman Old Style" w:eastAsia="Times New Roman" w:hAnsi="Bookman Old Style" w:cs="Times New Roman"/>
          <w:b/>
          <w:bCs/>
          <w:color w:val="000000"/>
        </w:rPr>
        <w:t>definizione 2016,</w:t>
      </w:r>
      <w:r w:rsidRPr="00E10F86">
        <w:rPr>
          <w:rFonts w:ascii="Bookman Old Style" w:eastAsia="Times New Roman" w:hAnsi="Bookman Old Style" w:cs="Times New Roman"/>
          <w:color w:val="000000"/>
        </w:rPr>
        <w:t xml:space="preserve"> disciplinata dall’articolo 6 del decreto-legge n. 193 del 2016), nonché</w:t>
      </w:r>
      <w:r w:rsidRPr="00E10F86">
        <w:rPr>
          <w:rFonts w:ascii="Bookman Old Style" w:eastAsia="Times New Roman" w:hAnsi="Bookman Old Style" w:cs="Times New Roman"/>
          <w:b/>
          <w:bCs/>
          <w:color w:val="000000"/>
        </w:rPr>
        <w:t xml:space="preserve"> </w:t>
      </w:r>
      <w:r w:rsidRPr="00E10F86">
        <w:rPr>
          <w:rFonts w:ascii="Bookman Old Style" w:eastAsia="Times New Roman" w:hAnsi="Bookman Old Style" w:cs="Times New Roman"/>
          <w:color w:val="000000"/>
        </w:rPr>
        <w:t xml:space="preserve">da aprile </w:t>
      </w:r>
      <w:r w:rsidRPr="00E10F86">
        <w:rPr>
          <w:rFonts w:ascii="Bookman Old Style" w:eastAsia="Times New Roman" w:hAnsi="Bookman Old Style" w:cs="Times New Roman"/>
          <w:b/>
          <w:bCs/>
          <w:color w:val="000000"/>
        </w:rPr>
        <w:t xml:space="preserve">a luglio </w:t>
      </w:r>
      <w:r w:rsidRPr="00E10F86">
        <w:rPr>
          <w:rFonts w:ascii="Bookman Old Style" w:eastAsia="Times New Roman" w:hAnsi="Bookman Old Style" w:cs="Times New Roman"/>
          <w:color w:val="000000"/>
        </w:rPr>
        <w:t>quello per la rata da versare nel</w:t>
      </w:r>
      <w:r w:rsidRPr="00E10F86">
        <w:rPr>
          <w:rFonts w:ascii="Bookman Old Style" w:eastAsia="Times New Roman" w:hAnsi="Bookman Old Style" w:cs="Times New Roman"/>
          <w:b/>
          <w:bCs/>
          <w:color w:val="000000"/>
        </w:rPr>
        <w:t xml:space="preserve"> 2018</w:t>
      </w:r>
      <w:r w:rsidRPr="00E10F86">
        <w:rPr>
          <w:rFonts w:ascii="Bookman Old Style" w:eastAsia="Times New Roman" w:hAnsi="Bookman Old Style" w:cs="Times New Roman"/>
          <w:color w:val="000000"/>
        </w:rPr>
        <w:t xml:space="preserve">; </w:t>
      </w:r>
    </w:p>
    <w:p w:rsidR="00CD1AA0" w:rsidRPr="00E10F86" w:rsidRDefault="00CD1AA0" w:rsidP="00377212">
      <w:pPr>
        <w:pStyle w:val="Paragrafoelenco"/>
        <w:numPr>
          <w:ilvl w:val="0"/>
          <w:numId w:val="11"/>
        </w:numPr>
        <w:shd w:val="clear" w:color="auto" w:fill="FFFFFF"/>
        <w:spacing w:after="120" w:line="240" w:lineRule="auto"/>
        <w:ind w:left="426" w:hanging="426"/>
        <w:jc w:val="both"/>
        <w:rPr>
          <w:rFonts w:ascii="Bookman Old Style" w:eastAsia="Times New Roman" w:hAnsi="Bookman Old Style" w:cs="Times New Roman"/>
          <w:color w:val="000000"/>
        </w:rPr>
      </w:pPr>
      <w:r w:rsidRPr="00E10F86">
        <w:rPr>
          <w:rFonts w:ascii="Bookman Old Style" w:eastAsia="Times New Roman" w:hAnsi="Bookman Old Style" w:cs="Times New Roman"/>
          <w:color w:val="000000"/>
        </w:rPr>
        <w:t xml:space="preserve">permette alle Università che hanno aderito al beneficio della definizione agevolata 2016 di pagare le </w:t>
      </w:r>
      <w:r w:rsidRPr="00E10F86">
        <w:rPr>
          <w:rFonts w:ascii="Bookman Old Style" w:eastAsia="Times New Roman" w:hAnsi="Bookman Old Style" w:cs="Times New Roman"/>
          <w:b/>
          <w:bCs/>
          <w:color w:val="000000"/>
        </w:rPr>
        <w:t>rate in scadenza nel mese di novembre 2017</w:t>
      </w:r>
      <w:r w:rsidRPr="00E10F86">
        <w:rPr>
          <w:rFonts w:ascii="Bookman Old Style" w:eastAsia="Times New Roman" w:hAnsi="Bookman Old Style" w:cs="Times New Roman"/>
          <w:color w:val="000000"/>
        </w:rPr>
        <w:t xml:space="preserve"> entro il mese di </w:t>
      </w:r>
      <w:r w:rsidRPr="00E10F86">
        <w:rPr>
          <w:rFonts w:ascii="Bookman Old Style" w:eastAsia="Times New Roman" w:hAnsi="Bookman Old Style" w:cs="Times New Roman"/>
          <w:b/>
          <w:bCs/>
          <w:color w:val="000000"/>
        </w:rPr>
        <w:t>novembre</w:t>
      </w:r>
      <w:r w:rsidRPr="00E10F86">
        <w:rPr>
          <w:rFonts w:ascii="Bookman Old Style" w:eastAsia="Times New Roman" w:hAnsi="Bookman Old Style" w:cs="Times New Roman"/>
          <w:color w:val="000000"/>
        </w:rPr>
        <w:t xml:space="preserve"> </w:t>
      </w:r>
      <w:r w:rsidRPr="00E10F86">
        <w:rPr>
          <w:rFonts w:ascii="Bookman Old Style" w:eastAsia="Times New Roman" w:hAnsi="Bookman Old Style" w:cs="Times New Roman"/>
          <w:b/>
          <w:bCs/>
          <w:color w:val="000000"/>
        </w:rPr>
        <w:t>2018 (comma 3)</w:t>
      </w:r>
      <w:r w:rsidRPr="00E10F86">
        <w:rPr>
          <w:rFonts w:ascii="Bookman Old Style" w:eastAsia="Times New Roman" w:hAnsi="Bookman Old Style" w:cs="Times New Roman"/>
          <w:color w:val="000000"/>
        </w:rPr>
        <w:t>;</w:t>
      </w:r>
    </w:p>
    <w:p w:rsidR="00CD1AA0" w:rsidRPr="00E10F86" w:rsidRDefault="00CD1AA0" w:rsidP="00377212">
      <w:pPr>
        <w:pStyle w:val="Paragrafoelenco"/>
        <w:numPr>
          <w:ilvl w:val="0"/>
          <w:numId w:val="11"/>
        </w:numPr>
        <w:shd w:val="clear" w:color="auto" w:fill="FFFFFF"/>
        <w:spacing w:after="120" w:line="240" w:lineRule="auto"/>
        <w:ind w:left="426" w:hanging="426"/>
        <w:jc w:val="both"/>
        <w:rPr>
          <w:rFonts w:ascii="Bookman Old Style" w:eastAsia="Times New Roman" w:hAnsi="Bookman Old Style" w:cs="Times New Roman"/>
          <w:color w:val="000000"/>
        </w:rPr>
      </w:pPr>
      <w:r w:rsidRPr="00E10F86">
        <w:rPr>
          <w:rFonts w:ascii="Bookman Old Style" w:eastAsia="Times New Roman" w:hAnsi="Bookman Old Style" w:cs="Times New Roman"/>
          <w:color w:val="000000"/>
        </w:rPr>
        <w:t xml:space="preserve">riapre i termini per la definizione agevolata dei </w:t>
      </w:r>
      <w:r w:rsidRPr="00E10F86">
        <w:rPr>
          <w:rFonts w:ascii="Bookman Old Style" w:eastAsia="Times New Roman" w:hAnsi="Bookman Old Style" w:cs="Times New Roman"/>
          <w:b/>
          <w:bCs/>
          <w:color w:val="000000"/>
        </w:rPr>
        <w:t xml:space="preserve">carichi </w:t>
      </w:r>
      <w:r w:rsidRPr="00E10F86">
        <w:rPr>
          <w:rFonts w:ascii="Bookman Old Style" w:eastAsia="Times New Roman" w:hAnsi="Bookman Old Style" w:cs="Times New Roman"/>
          <w:color w:val="000000"/>
        </w:rPr>
        <w:t>affidati nel periodo</w:t>
      </w:r>
      <w:r w:rsidRPr="00E10F86">
        <w:rPr>
          <w:rFonts w:ascii="Bookman Old Style" w:eastAsia="Times New Roman" w:hAnsi="Bookman Old Style" w:cs="Times New Roman"/>
          <w:b/>
          <w:bCs/>
          <w:color w:val="000000"/>
        </w:rPr>
        <w:t xml:space="preserve"> 2000-2016</w:t>
      </w:r>
      <w:r w:rsidRPr="00E10F86">
        <w:rPr>
          <w:rFonts w:ascii="Bookman Old Style" w:eastAsia="Times New Roman" w:hAnsi="Bookman Old Style" w:cs="Times New Roman"/>
          <w:color w:val="000000"/>
        </w:rPr>
        <w:t xml:space="preserve">, anche </w:t>
      </w:r>
      <w:r w:rsidRPr="00E10F86">
        <w:rPr>
          <w:rFonts w:ascii="Bookman Old Style" w:eastAsia="Times New Roman" w:hAnsi="Bookman Old Style" w:cs="Times New Roman"/>
          <w:b/>
          <w:bCs/>
          <w:color w:val="000000"/>
        </w:rPr>
        <w:t xml:space="preserve">se non sono stati oggetto di dichiarazione </w:t>
      </w:r>
      <w:r w:rsidRPr="00E10F86">
        <w:rPr>
          <w:rFonts w:ascii="Bookman Old Style" w:eastAsia="Times New Roman" w:hAnsi="Bookman Old Style" w:cs="Times New Roman"/>
          <w:color w:val="000000"/>
        </w:rPr>
        <w:t xml:space="preserve">secondo le prescrizioni del decreto-legge n. 193 del 2016; permette di </w:t>
      </w:r>
      <w:r w:rsidRPr="00E10F86">
        <w:rPr>
          <w:rFonts w:ascii="Bookman Old Style" w:eastAsia="Times New Roman" w:hAnsi="Bookman Old Style" w:cs="Times New Roman"/>
          <w:b/>
          <w:bCs/>
          <w:color w:val="000000"/>
        </w:rPr>
        <w:t xml:space="preserve">estinguere </w:t>
      </w:r>
      <w:r w:rsidRPr="00E10F86">
        <w:rPr>
          <w:rFonts w:ascii="Bookman Old Style" w:eastAsia="Times New Roman" w:hAnsi="Bookman Old Style" w:cs="Times New Roman"/>
          <w:color w:val="000000"/>
        </w:rPr>
        <w:t>con</w:t>
      </w:r>
      <w:r w:rsidRPr="00E10F86">
        <w:rPr>
          <w:rFonts w:ascii="Bookman Old Style" w:eastAsia="Times New Roman" w:hAnsi="Bookman Old Style" w:cs="Times New Roman"/>
          <w:b/>
          <w:bCs/>
          <w:color w:val="000000"/>
        </w:rPr>
        <w:t xml:space="preserve"> modalità agevolate</w:t>
      </w:r>
      <w:r w:rsidRPr="00E10F86">
        <w:rPr>
          <w:rFonts w:ascii="Bookman Old Style" w:eastAsia="Times New Roman" w:hAnsi="Bookman Old Style" w:cs="Times New Roman"/>
          <w:color w:val="000000"/>
        </w:rPr>
        <w:t xml:space="preserve"> i </w:t>
      </w:r>
      <w:r w:rsidRPr="00E10F86">
        <w:rPr>
          <w:rFonts w:ascii="Bookman Old Style" w:eastAsia="Times New Roman" w:hAnsi="Bookman Old Style" w:cs="Times New Roman"/>
          <w:b/>
          <w:bCs/>
          <w:color w:val="000000"/>
        </w:rPr>
        <w:t>carichi</w:t>
      </w:r>
      <w:r w:rsidRPr="00E10F86">
        <w:rPr>
          <w:rFonts w:ascii="Bookman Old Style" w:eastAsia="Times New Roman" w:hAnsi="Bookman Old Style" w:cs="Times New Roman"/>
          <w:color w:val="000000"/>
        </w:rPr>
        <w:t xml:space="preserve"> </w:t>
      </w:r>
      <w:r w:rsidRPr="00E10F86">
        <w:rPr>
          <w:rFonts w:ascii="Bookman Old Style" w:eastAsia="Times New Roman" w:hAnsi="Bookman Old Style" w:cs="Times New Roman"/>
          <w:b/>
          <w:bCs/>
          <w:color w:val="000000"/>
        </w:rPr>
        <w:t xml:space="preserve">affidati </w:t>
      </w:r>
      <w:r w:rsidRPr="00E10F86">
        <w:rPr>
          <w:rFonts w:ascii="Bookman Old Style" w:eastAsia="Times New Roman" w:hAnsi="Bookman Old Style" w:cs="Times New Roman"/>
          <w:color w:val="000000"/>
        </w:rPr>
        <w:t>agli agenti della riscossione</w:t>
      </w:r>
      <w:r w:rsidRPr="00E10F86">
        <w:rPr>
          <w:rFonts w:ascii="Bookman Old Style" w:eastAsia="Times New Roman" w:hAnsi="Bookman Old Style" w:cs="Times New Roman"/>
          <w:b/>
          <w:bCs/>
          <w:color w:val="000000"/>
        </w:rPr>
        <w:t xml:space="preserve"> dal 1°gennaio al 30 settembre 2017</w:t>
      </w:r>
      <w:r w:rsidRPr="00E10F86">
        <w:rPr>
          <w:rFonts w:ascii="Bookman Old Style" w:eastAsia="Times New Roman" w:hAnsi="Bookman Old Style" w:cs="Times New Roman"/>
          <w:color w:val="000000"/>
        </w:rPr>
        <w:t xml:space="preserve">, riaprendo dunque i termini per accedere al beneficio (cd. </w:t>
      </w:r>
      <w:r w:rsidRPr="00E10F86">
        <w:rPr>
          <w:rFonts w:ascii="Bookman Old Style" w:eastAsia="Times New Roman" w:hAnsi="Bookman Old Style" w:cs="Times New Roman"/>
          <w:b/>
          <w:bCs/>
          <w:color w:val="000000"/>
        </w:rPr>
        <w:t>definizione agevolata 2017</w:t>
      </w:r>
      <w:r w:rsidRPr="00E10F86">
        <w:rPr>
          <w:rFonts w:ascii="Bookman Old Style" w:eastAsia="Times New Roman" w:hAnsi="Bookman Old Style" w:cs="Times New Roman"/>
          <w:color w:val="000000"/>
        </w:rPr>
        <w:t xml:space="preserve">); riammette alla definizione agevolata 2016 i </w:t>
      </w:r>
      <w:r w:rsidRPr="00E10F86">
        <w:rPr>
          <w:rFonts w:ascii="Bookman Old Style" w:eastAsia="Times New Roman" w:hAnsi="Bookman Old Style" w:cs="Times New Roman"/>
          <w:b/>
          <w:bCs/>
          <w:color w:val="000000"/>
        </w:rPr>
        <w:t xml:space="preserve">carichi precedentemente esclusi - </w:t>
      </w:r>
      <w:r w:rsidRPr="00E10F86">
        <w:rPr>
          <w:rFonts w:ascii="Bookman Old Style" w:eastAsia="Times New Roman" w:hAnsi="Bookman Old Style" w:cs="Times New Roman"/>
          <w:color w:val="000000"/>
        </w:rPr>
        <w:t xml:space="preserve">compresi in piani di dilazione – a causa del mancato tempestivo pagamento di tutte le </w:t>
      </w:r>
      <w:r w:rsidRPr="00E10F86">
        <w:rPr>
          <w:rFonts w:ascii="Bookman Old Style" w:eastAsia="Times New Roman" w:hAnsi="Bookman Old Style" w:cs="Times New Roman"/>
          <w:b/>
          <w:bCs/>
          <w:color w:val="000000"/>
        </w:rPr>
        <w:t>rate</w:t>
      </w:r>
      <w:r w:rsidRPr="00E10F86">
        <w:rPr>
          <w:rFonts w:ascii="Bookman Old Style" w:eastAsia="Times New Roman" w:hAnsi="Bookman Old Style" w:cs="Times New Roman"/>
          <w:color w:val="000000"/>
        </w:rPr>
        <w:t xml:space="preserve"> scadute (</w:t>
      </w:r>
      <w:r w:rsidRPr="00E10F86">
        <w:rPr>
          <w:rFonts w:ascii="Bookman Old Style" w:eastAsia="Times New Roman" w:hAnsi="Bookman Old Style" w:cs="Times New Roman"/>
          <w:b/>
          <w:bCs/>
          <w:color w:val="000000"/>
        </w:rPr>
        <w:t>commi da 4 a 10-</w:t>
      </w:r>
      <w:r w:rsidRPr="00E10F86">
        <w:rPr>
          <w:rFonts w:ascii="Bookman Old Style" w:eastAsia="Times New Roman" w:hAnsi="Bookman Old Style" w:cs="Times New Roman"/>
          <w:b/>
          <w:bCs/>
          <w:i/>
          <w:iCs/>
          <w:color w:val="000000"/>
        </w:rPr>
        <w:t>sexies</w:t>
      </w:r>
      <w:r w:rsidRPr="00E10F86">
        <w:rPr>
          <w:rFonts w:ascii="Bookman Old Style" w:eastAsia="Times New Roman" w:hAnsi="Bookman Old Style" w:cs="Times New Roman"/>
          <w:color w:val="000000"/>
        </w:rPr>
        <w:t xml:space="preserve">); </w:t>
      </w:r>
    </w:p>
    <w:p w:rsidR="009423E2" w:rsidRDefault="00CD1AA0" w:rsidP="00377212">
      <w:pPr>
        <w:pStyle w:val="Paragrafoelenco"/>
        <w:numPr>
          <w:ilvl w:val="0"/>
          <w:numId w:val="19"/>
        </w:numPr>
        <w:spacing w:after="120" w:line="240" w:lineRule="auto"/>
        <w:ind w:left="426" w:hanging="426"/>
        <w:jc w:val="both"/>
      </w:pPr>
      <w:r w:rsidRPr="00377212">
        <w:rPr>
          <w:rFonts w:ascii="Bookman Old Style" w:eastAsia="Times New Roman" w:hAnsi="Bookman Old Style" w:cs="Times New Roman"/>
          <w:color w:val="000000"/>
        </w:rPr>
        <w:t>specifica (</w:t>
      </w:r>
      <w:r w:rsidRPr="00377212">
        <w:rPr>
          <w:rFonts w:ascii="Bookman Old Style" w:eastAsia="Times New Roman" w:hAnsi="Bookman Old Style" w:cs="Times New Roman"/>
          <w:b/>
          <w:bCs/>
          <w:color w:val="000000"/>
        </w:rPr>
        <w:t>comma 11</w:t>
      </w:r>
      <w:r w:rsidRPr="00377212">
        <w:rPr>
          <w:rFonts w:ascii="Bookman Old Style" w:eastAsia="Times New Roman" w:hAnsi="Bookman Old Style" w:cs="Times New Roman"/>
          <w:color w:val="000000"/>
        </w:rPr>
        <w:t xml:space="preserve">), con riferimento al personale di </w:t>
      </w:r>
      <w:proofErr w:type="spellStart"/>
      <w:r w:rsidRPr="00377212">
        <w:rPr>
          <w:rFonts w:ascii="Bookman Old Style" w:eastAsia="Times New Roman" w:hAnsi="Bookman Old Style" w:cs="Times New Roman"/>
          <w:color w:val="000000"/>
        </w:rPr>
        <w:t>Equitalia</w:t>
      </w:r>
      <w:proofErr w:type="spellEnd"/>
      <w:r w:rsidRPr="00377212">
        <w:rPr>
          <w:rFonts w:ascii="Bookman Old Style" w:eastAsia="Times New Roman" w:hAnsi="Bookman Old Style" w:cs="Times New Roman"/>
          <w:color w:val="000000"/>
        </w:rPr>
        <w:t xml:space="preserve"> trasferito al nuovo ente Agenzia delle Entrate – Riscossione, che la possibilità di continuare ad accedere al Fondo di previdenza dei lavoratori esattoriali è disposta allo scopo di </w:t>
      </w:r>
      <w:r w:rsidRPr="00377212">
        <w:rPr>
          <w:rFonts w:ascii="Bookman Old Style" w:eastAsia="Times New Roman" w:hAnsi="Bookman Old Style" w:cs="Times New Roman"/>
          <w:b/>
          <w:bCs/>
          <w:color w:val="000000"/>
        </w:rPr>
        <w:t>armonizzare la disciplina previdenziale</w:t>
      </w:r>
      <w:r w:rsidRPr="00377212">
        <w:rPr>
          <w:rFonts w:ascii="Bookman Old Style" w:eastAsia="Times New Roman" w:hAnsi="Bookman Old Style" w:cs="Times New Roman"/>
          <w:color w:val="000000"/>
        </w:rPr>
        <w:t xml:space="preserve"> del personale proveniente dal gruppo </w:t>
      </w:r>
      <w:proofErr w:type="spellStart"/>
      <w:r w:rsidRPr="00377212">
        <w:rPr>
          <w:rFonts w:ascii="Bookman Old Style" w:eastAsia="Times New Roman" w:hAnsi="Bookman Old Style" w:cs="Times New Roman"/>
          <w:color w:val="000000"/>
        </w:rPr>
        <w:t>Equitalia</w:t>
      </w:r>
      <w:proofErr w:type="spellEnd"/>
      <w:r w:rsidRPr="00377212">
        <w:rPr>
          <w:rFonts w:ascii="Bookman Old Style" w:eastAsia="Times New Roman" w:hAnsi="Bookman Old Style" w:cs="Times New Roman"/>
          <w:color w:val="000000"/>
        </w:rPr>
        <w:t xml:space="preserve"> con quella dell'assicurazione generale obbligatoria, sulla base dei principi generali di legge; con le </w:t>
      </w:r>
      <w:r w:rsidRPr="00377212">
        <w:rPr>
          <w:rFonts w:ascii="Bookman Old Style" w:eastAsia="Times New Roman" w:hAnsi="Bookman Old Style" w:cs="Times New Roman"/>
          <w:bCs/>
          <w:color w:val="000000"/>
        </w:rPr>
        <w:t>modifiche</w:t>
      </w:r>
      <w:r w:rsidRPr="00377212">
        <w:rPr>
          <w:rFonts w:ascii="Bookman Old Style" w:eastAsia="Times New Roman" w:hAnsi="Bookman Old Style" w:cs="Times New Roman"/>
          <w:color w:val="000000"/>
        </w:rPr>
        <w:t xml:space="preserve"> apportate in </w:t>
      </w:r>
      <w:r w:rsidRPr="00377212">
        <w:rPr>
          <w:rFonts w:ascii="Bookman Old Style" w:eastAsia="Times New Roman" w:hAnsi="Bookman Old Style" w:cs="Times New Roman"/>
          <w:bCs/>
          <w:color w:val="000000"/>
        </w:rPr>
        <w:t>Commissione al Senato</w:t>
      </w:r>
      <w:r w:rsidRPr="00377212">
        <w:rPr>
          <w:rFonts w:ascii="Bookman Old Style" w:eastAsia="Times New Roman" w:hAnsi="Bookman Old Style" w:cs="Times New Roman"/>
          <w:color w:val="000000"/>
        </w:rPr>
        <w:t xml:space="preserve"> </w:t>
      </w:r>
      <w:r w:rsidR="009423E2" w:rsidRPr="00377212">
        <w:rPr>
          <w:rFonts w:ascii="Bookman Old Style" w:eastAsia="Times New Roman" w:hAnsi="Bookman Old Style" w:cs="Times New Roman"/>
          <w:bCs/>
          <w:color w:val="000000"/>
        </w:rPr>
        <w:t>anche le funzioni</w:t>
      </w:r>
      <w:r w:rsidR="009423E2" w:rsidRPr="00377212">
        <w:rPr>
          <w:rFonts w:ascii="Bookman Old Style" w:eastAsia="Times New Roman" w:hAnsi="Bookman Old Style" w:cs="Times New Roman"/>
          <w:color w:val="000000"/>
        </w:rPr>
        <w:t xml:space="preserve"> e le </w:t>
      </w:r>
      <w:r w:rsidR="009423E2" w:rsidRPr="00377212">
        <w:rPr>
          <w:rFonts w:ascii="Bookman Old Style" w:eastAsia="Times New Roman" w:hAnsi="Bookman Old Style" w:cs="Times New Roman"/>
          <w:b/>
          <w:bCs/>
          <w:color w:val="000000"/>
        </w:rPr>
        <w:t>attività di supporto propedeutiche all'accertamento ed alla riscossione delle entrate</w:t>
      </w:r>
      <w:r w:rsidR="009423E2" w:rsidRPr="00377212">
        <w:rPr>
          <w:rFonts w:ascii="Bookman Old Style" w:eastAsia="Times New Roman" w:hAnsi="Bookman Old Style" w:cs="Times New Roman"/>
          <w:color w:val="000000"/>
        </w:rPr>
        <w:t xml:space="preserve"> degli </w:t>
      </w:r>
      <w:r w:rsidR="009423E2" w:rsidRPr="00377212">
        <w:rPr>
          <w:rFonts w:ascii="Bookman Old Style" w:eastAsia="Times New Roman" w:hAnsi="Bookman Old Style" w:cs="Times New Roman"/>
          <w:b/>
          <w:bCs/>
          <w:color w:val="000000"/>
        </w:rPr>
        <w:t xml:space="preserve">enti locali e delle società da essi partecipate </w:t>
      </w:r>
      <w:r w:rsidR="001161B2" w:rsidRPr="00377212">
        <w:rPr>
          <w:rFonts w:ascii="Bookman Old Style" w:eastAsia="Times New Roman" w:hAnsi="Bookman Old Style" w:cs="Times New Roman"/>
          <w:bCs/>
          <w:color w:val="000000"/>
        </w:rPr>
        <w:t>devono essere affidate a</w:t>
      </w:r>
      <w:r w:rsidR="009423E2" w:rsidRPr="00377212">
        <w:rPr>
          <w:rFonts w:ascii="Bookman Old Style" w:eastAsia="Times New Roman" w:hAnsi="Bookman Old Style" w:cs="Times New Roman"/>
          <w:bCs/>
          <w:color w:val="000000"/>
        </w:rPr>
        <w:t xml:space="preserve"> soggetti </w:t>
      </w:r>
      <w:r w:rsidR="009423E2" w:rsidRPr="00377212">
        <w:rPr>
          <w:rFonts w:ascii="Bookman Old Style" w:eastAsia="Times New Roman" w:hAnsi="Bookman Old Style" w:cs="Times New Roman"/>
          <w:color w:val="000000"/>
        </w:rPr>
        <w:t xml:space="preserve">autorizzati all’esercizio delle attività di riscossione degli enti locali iscritti all'albo di cui all’art. 53 del </w:t>
      </w:r>
      <w:proofErr w:type="spellStart"/>
      <w:r w:rsidR="009423E2" w:rsidRPr="00377212">
        <w:rPr>
          <w:rFonts w:ascii="Bookman Old Style" w:eastAsia="Times New Roman" w:hAnsi="Bookman Old Style" w:cs="Times New Roman"/>
          <w:color w:val="000000"/>
        </w:rPr>
        <w:t>D.Lgs.</w:t>
      </w:r>
      <w:proofErr w:type="spellEnd"/>
      <w:r w:rsidR="009423E2" w:rsidRPr="00377212">
        <w:rPr>
          <w:rFonts w:ascii="Bookman Old Style" w:eastAsia="Times New Roman" w:hAnsi="Bookman Old Style" w:cs="Times New Roman"/>
          <w:color w:val="000000"/>
        </w:rPr>
        <w:t xml:space="preserve"> n. 446 del 1997.</w:t>
      </w:r>
    </w:p>
    <w:p w:rsidR="00676EFF" w:rsidRPr="00CE6E1E" w:rsidRDefault="00676EFF" w:rsidP="00377212">
      <w:pPr>
        <w:spacing w:after="120" w:line="240" w:lineRule="auto"/>
        <w:ind w:left="426"/>
        <w:jc w:val="both"/>
        <w:rPr>
          <w:rFonts w:ascii="Bookman Old Style" w:hAnsi="Bookman Old Style"/>
        </w:rPr>
      </w:pPr>
      <w:r w:rsidRPr="00CE6E1E">
        <w:rPr>
          <w:rFonts w:ascii="Bookman Old Style" w:hAnsi="Bookman Old Style"/>
        </w:rPr>
        <w:t xml:space="preserve">Tale </w:t>
      </w:r>
      <w:r w:rsidR="00180EB8" w:rsidRPr="00377212">
        <w:rPr>
          <w:rFonts w:ascii="Bookman Old Style" w:hAnsi="Bookman Old Style"/>
        </w:rPr>
        <w:t xml:space="preserve">ultima </w:t>
      </w:r>
      <w:r w:rsidRPr="00CE6E1E">
        <w:rPr>
          <w:rFonts w:ascii="Bookman Old Style" w:hAnsi="Bookman Old Style"/>
        </w:rPr>
        <w:t xml:space="preserve">modifica agli obblighi di iscrizione all’albo dei </w:t>
      </w:r>
      <w:proofErr w:type="spellStart"/>
      <w:r w:rsidRPr="00CE6E1E">
        <w:rPr>
          <w:rFonts w:ascii="Bookman Old Style" w:hAnsi="Bookman Old Style"/>
        </w:rPr>
        <w:t>riscossori</w:t>
      </w:r>
      <w:proofErr w:type="spellEnd"/>
      <w:r w:rsidRPr="00CE6E1E">
        <w:rPr>
          <w:rFonts w:ascii="Bookman Old Style" w:hAnsi="Bookman Old Style"/>
        </w:rPr>
        <w:t xml:space="preserve"> crea una restrizione ingiustificata della capacità di autonoma organizzazione degli enti locali nella gestione delle proprie entrate. La novella impone infatti l’</w:t>
      </w:r>
      <w:r w:rsidR="00B816CC">
        <w:rPr>
          <w:rFonts w:ascii="Bookman Old Style" w:hAnsi="Bookman Old Style"/>
        </w:rPr>
        <w:t>i</w:t>
      </w:r>
      <w:r w:rsidRPr="00CE6E1E">
        <w:rPr>
          <w:rFonts w:ascii="Bookman Old Style" w:hAnsi="Bookman Old Style"/>
        </w:rPr>
        <w:t xml:space="preserve">scrizione all’albo dei </w:t>
      </w:r>
      <w:proofErr w:type="spellStart"/>
      <w:r w:rsidRPr="00CE6E1E">
        <w:rPr>
          <w:rFonts w:ascii="Bookman Old Style" w:hAnsi="Bookman Old Style"/>
        </w:rPr>
        <w:t>riscossori</w:t>
      </w:r>
      <w:proofErr w:type="spellEnd"/>
      <w:r w:rsidRPr="00CE6E1E">
        <w:rPr>
          <w:rFonts w:ascii="Bookman Old Style" w:hAnsi="Bookman Old Style"/>
        </w:rPr>
        <w:t xml:space="preserve"> per tutti i soggetti che svolgono “le funzioni e le attività di supporto propedeutiche all'accertamento e alla riscossione delle entrate”. Questa</w:t>
      </w:r>
      <w:r w:rsidRPr="00CE6E1E">
        <w:t xml:space="preserve"> </w:t>
      </w:r>
      <w:r w:rsidRPr="00CE6E1E">
        <w:rPr>
          <w:rFonts w:ascii="Bookman Old Style" w:hAnsi="Bookman Old Style"/>
        </w:rPr>
        <w:t>estensiva formulazione</w:t>
      </w:r>
      <w:r w:rsidRPr="00CE6E1E">
        <w:t xml:space="preserve"> </w:t>
      </w:r>
      <w:r w:rsidRPr="00CE6E1E">
        <w:rPr>
          <w:rFonts w:ascii="Bookman Old Style" w:hAnsi="Bookman Old Style"/>
        </w:rPr>
        <w:t>rischia di ostacolare l’acquisizione di servizi di supporto (informativi, logistici, legali, ecc.) correntemente utilizzati dai Comuni nell’esercizio delle proprie funzioni di gestione delle entrate. L’ANCI ha</w:t>
      </w:r>
      <w:r w:rsidR="009258D7" w:rsidRPr="00CE6E1E">
        <w:rPr>
          <w:rFonts w:ascii="Bookman Old Style" w:hAnsi="Bookman Old Style"/>
        </w:rPr>
        <w:t xml:space="preserve"> pertanto</w:t>
      </w:r>
      <w:r w:rsidRPr="00CE6E1E">
        <w:rPr>
          <w:rFonts w:ascii="Bookman Old Style" w:hAnsi="Bookman Old Style"/>
        </w:rPr>
        <w:t xml:space="preserve"> presentato una proposta al ddl bilancio 2018, attualmente in discussione alla Camera, che limita</w:t>
      </w:r>
      <w:r w:rsidR="00B816CC">
        <w:rPr>
          <w:rFonts w:ascii="Bookman Old Style" w:hAnsi="Bookman Old Style"/>
        </w:rPr>
        <w:t xml:space="preserve"> l’obbligo di iscrizione all</w:t>
      </w:r>
      <w:r w:rsidRPr="00CE6E1E">
        <w:rPr>
          <w:rFonts w:ascii="Bookman Old Style" w:hAnsi="Bookman Old Style"/>
        </w:rPr>
        <w:t>’albo ai soli casi di soggetti che svolgono attività di supporto e propedeutiche remunerate “ad aggio” e</w:t>
      </w:r>
      <w:r w:rsidR="009258D7" w:rsidRPr="00CE6E1E">
        <w:rPr>
          <w:rFonts w:ascii="Bookman Old Style" w:hAnsi="Bookman Old Style"/>
        </w:rPr>
        <w:t xml:space="preserve"> </w:t>
      </w:r>
      <w:r w:rsidRPr="00CE6E1E">
        <w:rPr>
          <w:rFonts w:ascii="Bookman Old Style" w:hAnsi="Bookman Old Style"/>
        </w:rPr>
        <w:t xml:space="preserve">pertanto configurano lo svolgimento di un insieme articolato di compiti non distinguibile dall’esercizio della funzione di </w:t>
      </w:r>
      <w:r w:rsidRPr="00CE6E1E">
        <w:rPr>
          <w:rFonts w:ascii="Bookman Old Style" w:hAnsi="Bookman Old Style"/>
        </w:rPr>
        <w:lastRenderedPageBreak/>
        <w:t xml:space="preserve">accertamento o di riscossione nella forma di concessione, tipica dei soggetti iscritti all’albo dei </w:t>
      </w:r>
      <w:proofErr w:type="spellStart"/>
      <w:r w:rsidRPr="00CE6E1E">
        <w:rPr>
          <w:rFonts w:ascii="Bookman Old Style" w:hAnsi="Bookman Old Style"/>
        </w:rPr>
        <w:t>riscossori</w:t>
      </w:r>
      <w:proofErr w:type="spellEnd"/>
      <w:r w:rsidRPr="00CE6E1E">
        <w:rPr>
          <w:rFonts w:ascii="Bookman Old Style" w:hAnsi="Bookman Old Style"/>
        </w:rPr>
        <w:t>.</w:t>
      </w:r>
    </w:p>
    <w:p w:rsidR="00AB79DF" w:rsidRDefault="00E10F86" w:rsidP="00377212">
      <w:pPr>
        <w:pStyle w:val="Paragrafoelenco"/>
        <w:numPr>
          <w:ilvl w:val="0"/>
          <w:numId w:val="11"/>
        </w:numPr>
        <w:shd w:val="clear" w:color="auto" w:fill="FFFFFF"/>
        <w:spacing w:after="120" w:line="240" w:lineRule="auto"/>
        <w:ind w:left="426" w:hanging="426"/>
        <w:jc w:val="both"/>
        <w:rPr>
          <w:rFonts w:ascii="Bookman Old Style" w:eastAsia="Times New Roman" w:hAnsi="Bookman Old Style" w:cs="Times New Roman"/>
          <w:color w:val="000000"/>
        </w:rPr>
      </w:pPr>
      <w:r w:rsidRPr="00E10F86">
        <w:rPr>
          <w:rFonts w:ascii="Bookman Old Style" w:eastAsia="Times New Roman" w:hAnsi="Bookman Old Style" w:cs="Times New Roman"/>
          <w:color w:val="000000"/>
        </w:rPr>
        <w:t>Aggiunge</w:t>
      </w:r>
      <w:r w:rsidR="00AB79DF" w:rsidRPr="00E10F86">
        <w:rPr>
          <w:rFonts w:ascii="Bookman Old Style" w:eastAsia="Times New Roman" w:hAnsi="Bookman Old Style" w:cs="Times New Roman"/>
          <w:color w:val="000000"/>
        </w:rPr>
        <w:t xml:space="preserve"> </w:t>
      </w:r>
      <w:r w:rsidR="00AB79DF" w:rsidRPr="00E10F86">
        <w:rPr>
          <w:rFonts w:ascii="Bookman Old Style" w:eastAsia="Times New Roman" w:hAnsi="Bookman Old Style" w:cs="Times New Roman"/>
          <w:bCs/>
          <w:color w:val="000000"/>
        </w:rPr>
        <w:t>il comma 11-</w:t>
      </w:r>
      <w:r w:rsidR="001272EE">
        <w:rPr>
          <w:rFonts w:ascii="Bookman Old Style" w:eastAsia="Times New Roman" w:hAnsi="Bookman Old Style" w:cs="Times New Roman"/>
          <w:bCs/>
          <w:i/>
          <w:iCs/>
          <w:color w:val="000000"/>
        </w:rPr>
        <w:t xml:space="preserve">quater </w:t>
      </w:r>
      <w:r w:rsidRPr="00E10F86">
        <w:rPr>
          <w:rFonts w:ascii="Bookman Old Style" w:eastAsia="Times New Roman" w:hAnsi="Bookman Old Style" w:cs="Times New Roman"/>
          <w:b/>
          <w:color w:val="000000"/>
        </w:rPr>
        <w:t>(richiesta ANCI)</w:t>
      </w:r>
      <w:r w:rsidRPr="00E10F86">
        <w:rPr>
          <w:rFonts w:ascii="Bookman Old Style" w:eastAsia="Times New Roman" w:hAnsi="Bookman Old Style" w:cs="Times New Roman"/>
          <w:color w:val="000000"/>
        </w:rPr>
        <w:t xml:space="preserve"> </w:t>
      </w:r>
      <w:r w:rsidR="00AB79DF" w:rsidRPr="00E10F86">
        <w:rPr>
          <w:rFonts w:ascii="Bookman Old Style" w:eastAsia="Times New Roman" w:hAnsi="Bookman Old Style" w:cs="Times New Roman"/>
          <w:color w:val="000000"/>
        </w:rPr>
        <w:t xml:space="preserve">che estende i termini per </w:t>
      </w:r>
      <w:r w:rsidR="00AB79DF" w:rsidRPr="00E10F86">
        <w:rPr>
          <w:rFonts w:ascii="Bookman Old Style" w:eastAsia="Times New Roman" w:hAnsi="Bookman Old Style" w:cs="Times New Roman"/>
          <w:b/>
          <w:bCs/>
          <w:color w:val="000000"/>
        </w:rPr>
        <w:t>disciplinare,</w:t>
      </w:r>
      <w:r w:rsidR="00AB79DF" w:rsidRPr="00E10F86">
        <w:rPr>
          <w:rFonts w:ascii="Bookman Old Style" w:eastAsia="Times New Roman" w:hAnsi="Bookman Old Style" w:cs="Times New Roman"/>
          <w:color w:val="000000"/>
        </w:rPr>
        <w:t xml:space="preserve"> da parte delle </w:t>
      </w:r>
      <w:r w:rsidR="00AB79DF" w:rsidRPr="00E10F86">
        <w:rPr>
          <w:rFonts w:ascii="Bookman Old Style" w:eastAsia="Times New Roman" w:hAnsi="Bookman Old Style" w:cs="Times New Roman"/>
          <w:b/>
          <w:bCs/>
          <w:color w:val="000000"/>
        </w:rPr>
        <w:t xml:space="preserve">regioni e </w:t>
      </w:r>
      <w:r w:rsidR="00AB79DF" w:rsidRPr="00E10F86">
        <w:rPr>
          <w:rFonts w:ascii="Bookman Old Style" w:eastAsia="Times New Roman" w:hAnsi="Bookman Old Style" w:cs="Times New Roman"/>
          <w:color w:val="000000"/>
        </w:rPr>
        <w:t>degli</w:t>
      </w:r>
      <w:r w:rsidR="00AB79DF" w:rsidRPr="00E10F86">
        <w:rPr>
          <w:rFonts w:ascii="Bookman Old Style" w:eastAsia="Times New Roman" w:hAnsi="Bookman Old Style" w:cs="Times New Roman"/>
          <w:b/>
          <w:bCs/>
          <w:color w:val="000000"/>
        </w:rPr>
        <w:t xml:space="preserve"> enti locali</w:t>
      </w:r>
      <w:r w:rsidR="00AB79DF" w:rsidRPr="00E10F86">
        <w:rPr>
          <w:rFonts w:ascii="Bookman Old Style" w:eastAsia="Times New Roman" w:hAnsi="Bookman Old Style" w:cs="Times New Roman"/>
          <w:color w:val="000000"/>
        </w:rPr>
        <w:t xml:space="preserve">, la </w:t>
      </w:r>
      <w:r w:rsidR="00AB79DF" w:rsidRPr="00E10F86">
        <w:rPr>
          <w:rFonts w:ascii="Bookman Old Style" w:eastAsia="Times New Roman" w:hAnsi="Bookman Old Style" w:cs="Times New Roman"/>
          <w:b/>
          <w:bCs/>
          <w:color w:val="000000"/>
        </w:rPr>
        <w:t xml:space="preserve">definizione agevolata </w:t>
      </w:r>
      <w:r w:rsidR="00AB79DF" w:rsidRPr="00E10F86">
        <w:rPr>
          <w:rFonts w:ascii="Bookman Old Style" w:eastAsia="Times New Roman" w:hAnsi="Bookman Old Style" w:cs="Times New Roman"/>
          <w:color w:val="000000"/>
        </w:rPr>
        <w:t>delle proprie entrate non riscosse oggetto di provvedimenti di ingiunzione fiscale.</w:t>
      </w:r>
      <w:r w:rsidRPr="00E10F86">
        <w:rPr>
          <w:rFonts w:ascii="Bookman Old Style" w:eastAsia="Times New Roman" w:hAnsi="Bookman Old Style" w:cs="Times New Roman"/>
          <w:color w:val="000000"/>
        </w:rPr>
        <w:t xml:space="preserve"> </w:t>
      </w:r>
      <w:r w:rsidR="00AB79DF" w:rsidRPr="00E10F86">
        <w:rPr>
          <w:rFonts w:ascii="Bookman Old Style" w:eastAsia="Times New Roman" w:hAnsi="Bookman Old Style" w:cs="Times New Roman"/>
          <w:color w:val="000000"/>
        </w:rPr>
        <w:t xml:space="preserve">In particolare la facoltà riguarda le </w:t>
      </w:r>
      <w:r w:rsidR="00AB79DF" w:rsidRPr="00E10F86">
        <w:rPr>
          <w:rFonts w:ascii="Bookman Old Style" w:eastAsia="Times New Roman" w:hAnsi="Bookman Old Style" w:cs="Times New Roman"/>
          <w:b/>
          <w:bCs/>
          <w:color w:val="000000"/>
        </w:rPr>
        <w:t>entrate</w:t>
      </w:r>
      <w:r w:rsidR="00AB79DF" w:rsidRPr="00E10F86">
        <w:rPr>
          <w:rFonts w:ascii="Bookman Old Style" w:eastAsia="Times New Roman" w:hAnsi="Bookman Old Style" w:cs="Times New Roman"/>
          <w:color w:val="000000"/>
        </w:rPr>
        <w:t>, anche tributarie,</w:t>
      </w:r>
      <w:r w:rsidR="00AB79DF" w:rsidRPr="00E10F86">
        <w:rPr>
          <w:rFonts w:ascii="Bookman Old Style" w:eastAsia="Times New Roman" w:hAnsi="Bookman Old Style" w:cs="Times New Roman"/>
          <w:b/>
          <w:bCs/>
          <w:color w:val="000000"/>
        </w:rPr>
        <w:t xml:space="preserve"> di </w:t>
      </w:r>
      <w:r w:rsidR="00FA49EC">
        <w:rPr>
          <w:rFonts w:ascii="Bookman Old Style" w:eastAsia="Times New Roman" w:hAnsi="Bookman Old Style" w:cs="Times New Roman"/>
          <w:b/>
          <w:bCs/>
          <w:color w:val="000000"/>
        </w:rPr>
        <w:t>R</w:t>
      </w:r>
      <w:r w:rsidR="00FA49EC" w:rsidRPr="00E10F86">
        <w:rPr>
          <w:rFonts w:ascii="Bookman Old Style" w:eastAsia="Times New Roman" w:hAnsi="Bookman Old Style" w:cs="Times New Roman"/>
          <w:b/>
          <w:bCs/>
          <w:color w:val="000000"/>
        </w:rPr>
        <w:t>egioni</w:t>
      </w:r>
      <w:r w:rsidR="00AB79DF" w:rsidRPr="00E10F86">
        <w:rPr>
          <w:rFonts w:ascii="Bookman Old Style" w:eastAsia="Times New Roman" w:hAnsi="Bookman Old Style" w:cs="Times New Roman"/>
          <w:b/>
          <w:bCs/>
          <w:color w:val="000000"/>
        </w:rPr>
        <w:t xml:space="preserve">, </w:t>
      </w:r>
      <w:r w:rsidR="00FA49EC">
        <w:rPr>
          <w:rFonts w:ascii="Bookman Old Style" w:eastAsia="Times New Roman" w:hAnsi="Bookman Old Style" w:cs="Times New Roman"/>
          <w:b/>
          <w:bCs/>
          <w:color w:val="000000"/>
        </w:rPr>
        <w:t>P</w:t>
      </w:r>
      <w:r w:rsidR="00FA49EC" w:rsidRPr="00E10F86">
        <w:rPr>
          <w:rFonts w:ascii="Bookman Old Style" w:eastAsia="Times New Roman" w:hAnsi="Bookman Old Style" w:cs="Times New Roman"/>
          <w:b/>
          <w:bCs/>
          <w:color w:val="000000"/>
        </w:rPr>
        <w:t>rovince</w:t>
      </w:r>
      <w:r w:rsidR="00AB79DF" w:rsidRPr="00E10F86">
        <w:rPr>
          <w:rFonts w:ascii="Bookman Old Style" w:eastAsia="Times New Roman" w:hAnsi="Bookman Old Style" w:cs="Times New Roman"/>
          <w:b/>
          <w:bCs/>
          <w:color w:val="000000"/>
        </w:rPr>
        <w:t xml:space="preserve">, </w:t>
      </w:r>
      <w:r w:rsidR="00FA49EC">
        <w:rPr>
          <w:rFonts w:ascii="Bookman Old Style" w:eastAsia="Times New Roman" w:hAnsi="Bookman Old Style" w:cs="Times New Roman"/>
          <w:b/>
          <w:bCs/>
          <w:color w:val="000000"/>
        </w:rPr>
        <w:t>C</w:t>
      </w:r>
      <w:r w:rsidR="00FA49EC" w:rsidRPr="00E10F86">
        <w:rPr>
          <w:rFonts w:ascii="Bookman Old Style" w:eastAsia="Times New Roman" w:hAnsi="Bookman Old Style" w:cs="Times New Roman"/>
          <w:b/>
          <w:bCs/>
          <w:color w:val="000000"/>
        </w:rPr>
        <w:t xml:space="preserve">ittà </w:t>
      </w:r>
      <w:r w:rsidR="00AB79DF" w:rsidRPr="00E10F86">
        <w:rPr>
          <w:rFonts w:ascii="Bookman Old Style" w:eastAsia="Times New Roman" w:hAnsi="Bookman Old Style" w:cs="Times New Roman"/>
          <w:b/>
          <w:bCs/>
          <w:color w:val="000000"/>
        </w:rPr>
        <w:t xml:space="preserve">metropolitane e </w:t>
      </w:r>
      <w:r w:rsidR="00FA49EC">
        <w:rPr>
          <w:rFonts w:ascii="Bookman Old Style" w:eastAsia="Times New Roman" w:hAnsi="Bookman Old Style" w:cs="Times New Roman"/>
          <w:b/>
          <w:bCs/>
          <w:color w:val="000000"/>
        </w:rPr>
        <w:t>C</w:t>
      </w:r>
      <w:r w:rsidR="00FA49EC" w:rsidRPr="00E10F86">
        <w:rPr>
          <w:rFonts w:ascii="Bookman Old Style" w:eastAsia="Times New Roman" w:hAnsi="Bookman Old Style" w:cs="Times New Roman"/>
          <w:b/>
          <w:bCs/>
          <w:color w:val="000000"/>
        </w:rPr>
        <w:t>omuni</w:t>
      </w:r>
      <w:r w:rsidR="00FA49EC" w:rsidRPr="00E10F86">
        <w:rPr>
          <w:rFonts w:ascii="Bookman Old Style" w:eastAsia="Times New Roman" w:hAnsi="Bookman Old Style" w:cs="Times New Roman"/>
          <w:color w:val="000000"/>
        </w:rPr>
        <w:t xml:space="preserve"> </w:t>
      </w:r>
      <w:r w:rsidR="00AB79DF" w:rsidRPr="00E10F86">
        <w:rPr>
          <w:rFonts w:ascii="Bookman Old Style" w:eastAsia="Times New Roman" w:hAnsi="Bookman Old Style" w:cs="Times New Roman"/>
          <w:color w:val="000000"/>
        </w:rPr>
        <w:t xml:space="preserve">non riscosse a seguito di </w:t>
      </w:r>
      <w:r w:rsidR="00AB79DF" w:rsidRPr="00E10F86">
        <w:rPr>
          <w:rFonts w:ascii="Bookman Old Style" w:eastAsia="Times New Roman" w:hAnsi="Bookman Old Style" w:cs="Times New Roman"/>
          <w:b/>
          <w:bCs/>
          <w:color w:val="000000"/>
        </w:rPr>
        <w:t>provvedimenti di ingiunzione fiscale</w:t>
      </w:r>
      <w:r w:rsidR="00AB79DF" w:rsidRPr="00E10F86">
        <w:rPr>
          <w:rFonts w:ascii="Bookman Old Style" w:eastAsia="Times New Roman" w:hAnsi="Bookman Old Style" w:cs="Times New Roman"/>
          <w:color w:val="000000"/>
        </w:rPr>
        <w:t xml:space="preserve"> (disciplinate dal testo unico delle disposizioni relative alla riscossione delle entrate patrimoniali dello Stato, di cui al regio decreto 14 aprile 1910, n. 639) </w:t>
      </w:r>
      <w:r w:rsidR="00AB79DF" w:rsidRPr="00E10F86">
        <w:rPr>
          <w:rFonts w:ascii="Bookman Old Style" w:eastAsia="Times New Roman" w:hAnsi="Bookman Old Style" w:cs="Times New Roman"/>
          <w:b/>
          <w:bCs/>
          <w:color w:val="000000"/>
        </w:rPr>
        <w:t>notificati entro il 16 ottobre 2017,</w:t>
      </w:r>
      <w:r w:rsidR="00AB79DF" w:rsidRPr="00E10F86">
        <w:rPr>
          <w:rFonts w:ascii="Bookman Old Style" w:eastAsia="Times New Roman" w:hAnsi="Bookman Old Style" w:cs="Times New Roman"/>
          <w:color w:val="000000"/>
        </w:rPr>
        <w:t xml:space="preserve"> dagli enti stessi e dai soggetti iscritti all’albo dei concessionari della riscossione (di cui all'articolo 53 del decreto legislativo 15 dicembre 1997, n. 446).</w:t>
      </w:r>
      <w:r>
        <w:rPr>
          <w:rFonts w:ascii="Bookman Old Style" w:eastAsia="Times New Roman" w:hAnsi="Bookman Old Style" w:cs="Times New Roman"/>
          <w:color w:val="000000"/>
        </w:rPr>
        <w:t xml:space="preserve"> </w:t>
      </w:r>
      <w:r w:rsidR="00AB79DF" w:rsidRPr="00E10F86">
        <w:rPr>
          <w:rFonts w:ascii="Bookman Old Style" w:eastAsia="Times New Roman" w:hAnsi="Bookman Old Style" w:cs="Times New Roman"/>
          <w:color w:val="000000"/>
        </w:rPr>
        <w:t xml:space="preserve">I medesimi enti territoriali possono stabilire, entro sessanta giorni dalla data di entrata in vigore della legge di conversione del </w:t>
      </w:r>
      <w:r w:rsidR="00180EB8">
        <w:rPr>
          <w:rFonts w:ascii="Bookman Old Style" w:eastAsia="Times New Roman" w:hAnsi="Bookman Old Style" w:cs="Times New Roman"/>
          <w:color w:val="000000"/>
        </w:rPr>
        <w:t xml:space="preserve">provvedimento </w:t>
      </w:r>
      <w:r w:rsidR="0083443A">
        <w:rPr>
          <w:rFonts w:ascii="Bookman Old Style" w:eastAsia="Times New Roman" w:hAnsi="Bookman Old Style" w:cs="Times New Roman"/>
          <w:color w:val="000000"/>
        </w:rPr>
        <w:t>(entro il 3 febbraio 2018 se si considera che l</w:t>
      </w:r>
      <w:r w:rsidR="00D35E71">
        <w:rPr>
          <w:rFonts w:ascii="Bookman Old Style" w:eastAsia="Times New Roman" w:hAnsi="Bookman Old Style" w:cs="Times New Roman"/>
          <w:color w:val="000000"/>
        </w:rPr>
        <w:t xml:space="preserve">a legge di conversione dl </w:t>
      </w:r>
      <w:proofErr w:type="spellStart"/>
      <w:r w:rsidR="00D35E71">
        <w:rPr>
          <w:rFonts w:ascii="Bookman Old Style" w:eastAsia="Times New Roman" w:hAnsi="Bookman Old Style" w:cs="Times New Roman"/>
          <w:color w:val="000000"/>
        </w:rPr>
        <w:t>dl</w:t>
      </w:r>
      <w:proofErr w:type="spellEnd"/>
      <w:r w:rsidR="00D35E71">
        <w:rPr>
          <w:rFonts w:ascii="Bookman Old Style" w:eastAsia="Times New Roman" w:hAnsi="Bookman Old Style" w:cs="Times New Roman"/>
          <w:color w:val="000000"/>
        </w:rPr>
        <w:t xml:space="preserve"> 148</w:t>
      </w:r>
      <w:r w:rsidR="0083443A">
        <w:rPr>
          <w:rFonts w:ascii="Bookman Old Style" w:eastAsia="Times New Roman" w:hAnsi="Bookman Old Style" w:cs="Times New Roman"/>
          <w:color w:val="000000"/>
        </w:rPr>
        <w:t xml:space="preserve"> </w:t>
      </w:r>
      <w:r w:rsidR="00D35E71">
        <w:rPr>
          <w:rFonts w:ascii="Bookman Old Style" w:eastAsia="Times New Roman" w:hAnsi="Bookman Old Style" w:cs="Times New Roman"/>
          <w:color w:val="000000"/>
        </w:rPr>
        <w:t xml:space="preserve">(n.172) </w:t>
      </w:r>
      <w:r w:rsidR="0083443A">
        <w:rPr>
          <w:rFonts w:ascii="Bookman Old Style" w:eastAsia="Times New Roman" w:hAnsi="Bookman Old Style" w:cs="Times New Roman"/>
          <w:color w:val="000000"/>
        </w:rPr>
        <w:t>è stata pubblicata in Gazzetta Ufficiale il 5 dicembre 2017)</w:t>
      </w:r>
      <w:r w:rsidR="00AB79DF" w:rsidRPr="00E10F86">
        <w:rPr>
          <w:rFonts w:ascii="Bookman Old Style" w:eastAsia="Times New Roman" w:hAnsi="Bookman Old Style" w:cs="Times New Roman"/>
          <w:color w:val="000000"/>
        </w:rPr>
        <w:t xml:space="preserve">, con le forme previste dalla legislazione vigente per l'adozione dei propri atti destinati a disciplinare le entrate stesse, </w:t>
      </w:r>
      <w:r w:rsidR="00AB79DF" w:rsidRPr="00E10F86">
        <w:rPr>
          <w:rFonts w:ascii="Bookman Old Style" w:eastAsia="Times New Roman" w:hAnsi="Bookman Old Style" w:cs="Times New Roman"/>
          <w:b/>
          <w:bCs/>
          <w:color w:val="000000"/>
        </w:rPr>
        <w:t>l'esclusione delle sanzioni</w:t>
      </w:r>
      <w:r w:rsidR="00AB79DF" w:rsidRPr="00E10F86">
        <w:rPr>
          <w:rFonts w:ascii="Bookman Old Style" w:eastAsia="Times New Roman" w:hAnsi="Bookman Old Style" w:cs="Times New Roman"/>
          <w:color w:val="000000"/>
        </w:rPr>
        <w:t xml:space="preserve"> </w:t>
      </w:r>
      <w:r w:rsidR="00AB79DF" w:rsidRPr="00E10F86">
        <w:rPr>
          <w:rFonts w:ascii="Bookman Old Style" w:eastAsia="Times New Roman" w:hAnsi="Bookman Old Style" w:cs="Times New Roman"/>
          <w:b/>
          <w:bCs/>
          <w:color w:val="000000"/>
        </w:rPr>
        <w:t>relative alle predette entrate</w:t>
      </w:r>
      <w:r w:rsidR="00AB79DF" w:rsidRPr="00E10F86">
        <w:rPr>
          <w:rFonts w:ascii="Bookman Old Style" w:eastAsia="Times New Roman" w:hAnsi="Bookman Old Style" w:cs="Times New Roman"/>
          <w:color w:val="000000"/>
        </w:rPr>
        <w:t xml:space="preserve">. </w:t>
      </w:r>
    </w:p>
    <w:p w:rsidR="0083443A" w:rsidRDefault="0083443A" w:rsidP="00377212">
      <w:pPr>
        <w:shd w:val="clear" w:color="auto" w:fill="FFFFFF"/>
        <w:spacing w:before="23" w:after="23" w:line="240" w:lineRule="auto"/>
        <w:jc w:val="both"/>
        <w:rPr>
          <w:rFonts w:ascii="Bookman Old Style" w:eastAsia="Times New Roman" w:hAnsi="Bookman Old Style" w:cs="Times New Roman"/>
          <w:color w:val="000000"/>
        </w:rPr>
      </w:pPr>
      <w:r w:rsidRPr="00377212">
        <w:rPr>
          <w:rFonts w:ascii="Bookman Old Style" w:eastAsia="Times New Roman" w:hAnsi="Bookman Old Style" w:cs="Times New Roman"/>
          <w:color w:val="000000"/>
        </w:rPr>
        <w:t>Alla definizione agevolata delle entrate di regioni e</w:t>
      </w:r>
      <w:r w:rsidR="00D35E71">
        <w:rPr>
          <w:rFonts w:ascii="Bookman Old Style" w:eastAsia="Times New Roman" w:hAnsi="Bookman Old Style" w:cs="Times New Roman"/>
          <w:color w:val="000000"/>
        </w:rPr>
        <w:t>d</w:t>
      </w:r>
      <w:r w:rsidRPr="00377212">
        <w:rPr>
          <w:rFonts w:ascii="Bookman Old Style" w:eastAsia="Times New Roman" w:hAnsi="Bookman Old Style" w:cs="Times New Roman"/>
          <w:color w:val="000000"/>
        </w:rPr>
        <w:t xml:space="preserve"> enti locali si applicano le disposizioni già previste dal</w:t>
      </w:r>
      <w:r w:rsidR="00D35E71">
        <w:rPr>
          <w:rFonts w:ascii="Bookman Old Style" w:eastAsia="Times New Roman" w:hAnsi="Bookman Old Style" w:cs="Times New Roman"/>
          <w:color w:val="000000"/>
        </w:rPr>
        <w:t>l’art. 6-</w:t>
      </w:r>
      <w:r w:rsidR="00D35E71" w:rsidRPr="00377212">
        <w:rPr>
          <w:rFonts w:ascii="Bookman Old Style" w:eastAsia="Times New Roman" w:hAnsi="Bookman Old Style" w:cs="Times New Roman"/>
          <w:i/>
          <w:color w:val="000000"/>
        </w:rPr>
        <w:t>ter</w:t>
      </w:r>
      <w:r w:rsidR="00D35E71">
        <w:rPr>
          <w:rFonts w:ascii="Bookman Old Style" w:eastAsia="Times New Roman" w:hAnsi="Bookman Old Style" w:cs="Times New Roman"/>
          <w:color w:val="000000"/>
        </w:rPr>
        <w:t xml:space="preserve"> del</w:t>
      </w:r>
      <w:r w:rsidRPr="00377212">
        <w:rPr>
          <w:rFonts w:ascii="Bookman Old Style" w:eastAsia="Times New Roman" w:hAnsi="Bookman Old Style" w:cs="Times New Roman"/>
          <w:color w:val="000000"/>
        </w:rPr>
        <w:t xml:space="preserve"> decreto-legge n. 193</w:t>
      </w:r>
      <w:r w:rsidR="00180EB8">
        <w:rPr>
          <w:rFonts w:ascii="Bookman Old Style" w:eastAsia="Times New Roman" w:hAnsi="Bookman Old Style" w:cs="Times New Roman"/>
          <w:color w:val="000000"/>
        </w:rPr>
        <w:t xml:space="preserve"> del </w:t>
      </w:r>
      <w:r w:rsidR="00D35E71">
        <w:rPr>
          <w:rFonts w:ascii="Bookman Old Style" w:eastAsia="Times New Roman" w:hAnsi="Bookman Old Style" w:cs="Times New Roman"/>
          <w:color w:val="000000"/>
        </w:rPr>
        <w:t>2016</w:t>
      </w:r>
      <w:r w:rsidRPr="00377212">
        <w:rPr>
          <w:rFonts w:ascii="Bookman Old Style" w:eastAsia="Times New Roman" w:hAnsi="Bookman Old Style" w:cs="Times New Roman"/>
          <w:color w:val="000000"/>
        </w:rPr>
        <w:t xml:space="preserve"> </w:t>
      </w:r>
      <w:r w:rsidR="00D35E71">
        <w:rPr>
          <w:rFonts w:ascii="Bookman Old Style" w:eastAsia="Times New Roman" w:hAnsi="Bookman Old Style" w:cs="Times New Roman"/>
          <w:color w:val="000000"/>
        </w:rPr>
        <w:t>e</w:t>
      </w:r>
      <w:r w:rsidR="00180EB8">
        <w:rPr>
          <w:rFonts w:ascii="Bookman Old Style" w:eastAsia="Times New Roman" w:hAnsi="Bookman Old Style" w:cs="Times New Roman"/>
          <w:color w:val="000000"/>
        </w:rPr>
        <w:t xml:space="preserve">, </w:t>
      </w:r>
      <w:r w:rsidR="00D35E71">
        <w:rPr>
          <w:rFonts w:ascii="Bookman Old Style" w:eastAsia="Times New Roman" w:hAnsi="Bookman Old Style" w:cs="Times New Roman"/>
          <w:color w:val="000000"/>
        </w:rPr>
        <w:t>in particolare:</w:t>
      </w:r>
    </w:p>
    <w:p w:rsidR="00D35E71" w:rsidRPr="00377212" w:rsidRDefault="00D35E71" w:rsidP="00377212">
      <w:pPr>
        <w:pStyle w:val="Paragrafoelenco"/>
        <w:numPr>
          <w:ilvl w:val="0"/>
          <w:numId w:val="18"/>
        </w:numPr>
        <w:shd w:val="clear" w:color="auto" w:fill="FFFFFF"/>
        <w:spacing w:before="23" w:after="23" w:line="240" w:lineRule="auto"/>
        <w:jc w:val="both"/>
        <w:rPr>
          <w:rFonts w:ascii="Bookman Old Style" w:eastAsia="Times New Roman" w:hAnsi="Bookman Old Style" w:cs="Times New Roman"/>
          <w:color w:val="000000"/>
        </w:rPr>
      </w:pPr>
      <w:r w:rsidRPr="00377212">
        <w:rPr>
          <w:rFonts w:ascii="Bookman Old Style" w:eastAsia="Times New Roman" w:hAnsi="Bookman Old Style" w:cs="Times New Roman"/>
          <w:color w:val="000000"/>
        </w:rPr>
        <w:t xml:space="preserve">il comma 2 che disciplina il contenuto obbligatorio del provvedimento con cui è disposta la definizione agevolata; </w:t>
      </w:r>
    </w:p>
    <w:p w:rsidR="00D35E71" w:rsidRPr="00377212" w:rsidRDefault="00D35E71" w:rsidP="00377212">
      <w:pPr>
        <w:pStyle w:val="Paragrafoelenco"/>
        <w:numPr>
          <w:ilvl w:val="0"/>
          <w:numId w:val="18"/>
        </w:numPr>
        <w:shd w:val="clear" w:color="auto" w:fill="FFFFFF"/>
        <w:spacing w:before="23" w:after="23" w:line="240" w:lineRule="auto"/>
        <w:jc w:val="both"/>
        <w:rPr>
          <w:rFonts w:ascii="Bookman Old Style" w:eastAsia="Times New Roman" w:hAnsi="Bookman Old Style" w:cs="Times New Roman"/>
          <w:color w:val="000000"/>
        </w:rPr>
      </w:pPr>
      <w:r w:rsidRPr="00377212">
        <w:rPr>
          <w:rFonts w:ascii="Bookman Old Style" w:eastAsia="Times New Roman" w:hAnsi="Bookman Old Style" w:cs="Times New Roman"/>
          <w:color w:val="000000"/>
        </w:rPr>
        <w:t xml:space="preserve">il comma 3 che disciplina gli effetti della presentazione dell’istanza di attivazione della definizione agevolata (sospensione dei termini di prescrizione e decadenza per il recupero delle somme oggetto dell’istanza stessa); </w:t>
      </w:r>
    </w:p>
    <w:p w:rsidR="00D35E71" w:rsidRPr="00377212" w:rsidRDefault="00D35E71" w:rsidP="00377212">
      <w:pPr>
        <w:pStyle w:val="Paragrafoelenco"/>
        <w:numPr>
          <w:ilvl w:val="0"/>
          <w:numId w:val="18"/>
        </w:numPr>
        <w:shd w:val="clear" w:color="auto" w:fill="FFFFFF"/>
        <w:spacing w:before="23" w:after="23" w:line="240" w:lineRule="auto"/>
        <w:jc w:val="both"/>
        <w:rPr>
          <w:rFonts w:ascii="Bookman Old Style" w:eastAsia="Times New Roman" w:hAnsi="Bookman Old Style" w:cs="Times New Roman"/>
          <w:color w:val="000000"/>
        </w:rPr>
      </w:pPr>
      <w:r w:rsidRPr="00377212">
        <w:rPr>
          <w:rFonts w:ascii="Bookman Old Style" w:eastAsia="Times New Roman" w:hAnsi="Bookman Old Style" w:cs="Times New Roman"/>
          <w:color w:val="000000"/>
        </w:rPr>
        <w:t xml:space="preserve">il comma 4 che reca le conseguenze del mancato, insufficiente o tardivo versamento delle somme dovute, e cioè l’inefficacia della definizione con ripresa degli ordinari termini di prescrizione e decadenza; </w:t>
      </w:r>
    </w:p>
    <w:p w:rsidR="00D35E71" w:rsidRDefault="00D35E71" w:rsidP="00377212">
      <w:pPr>
        <w:pStyle w:val="Paragrafoelenco"/>
        <w:numPr>
          <w:ilvl w:val="0"/>
          <w:numId w:val="18"/>
        </w:numPr>
        <w:shd w:val="clear" w:color="auto" w:fill="FFFFFF"/>
        <w:spacing w:before="23" w:after="23" w:line="240" w:lineRule="auto"/>
        <w:jc w:val="both"/>
        <w:rPr>
          <w:rFonts w:ascii="Bookman Old Style" w:eastAsia="Times New Roman" w:hAnsi="Bookman Old Style" w:cs="Times New Roman"/>
          <w:color w:val="000000"/>
        </w:rPr>
      </w:pPr>
      <w:r w:rsidRPr="00377212">
        <w:rPr>
          <w:rFonts w:ascii="Bookman Old Style" w:eastAsia="Times New Roman" w:hAnsi="Bookman Old Style" w:cs="Times New Roman"/>
          <w:color w:val="000000"/>
        </w:rPr>
        <w:t xml:space="preserve">il comma 5 che riguarda i casi in cui non è possibile il ricorso alla definizione agevolata; </w:t>
      </w:r>
    </w:p>
    <w:p w:rsidR="00D35E71" w:rsidRPr="00377212" w:rsidRDefault="00D35E71" w:rsidP="00377212">
      <w:pPr>
        <w:pStyle w:val="Paragrafoelenco"/>
        <w:numPr>
          <w:ilvl w:val="0"/>
          <w:numId w:val="18"/>
        </w:numPr>
        <w:shd w:val="clear" w:color="auto" w:fill="FFFFFF"/>
        <w:spacing w:before="23" w:after="23" w:line="240" w:lineRule="auto"/>
        <w:jc w:val="both"/>
        <w:rPr>
          <w:rFonts w:ascii="Bookman Old Style" w:eastAsia="Times New Roman" w:hAnsi="Bookman Old Style" w:cs="Times New Roman"/>
          <w:color w:val="000000"/>
        </w:rPr>
      </w:pPr>
      <w:r w:rsidRPr="00377212">
        <w:rPr>
          <w:rFonts w:ascii="Bookman Old Style" w:eastAsia="Times New Roman" w:hAnsi="Bookman Old Style" w:cs="Times New Roman"/>
          <w:color w:val="000000"/>
        </w:rPr>
        <w:t>il comma 6 che estende tali norme alle Regioni a statuto speciale e alle Province autonome di Trento e di Bolzano, in conformità e compatibilmente con le forme e le condizioni speciali dei rispettivi statuti.</w:t>
      </w:r>
    </w:p>
    <w:p w:rsidR="00AB79DF" w:rsidRPr="00CD1AA0" w:rsidRDefault="00AB79DF" w:rsidP="00AB79DF">
      <w:pPr>
        <w:shd w:val="clear" w:color="auto" w:fill="FFFFFF"/>
        <w:spacing w:after="69" w:line="240" w:lineRule="auto"/>
        <w:jc w:val="both"/>
        <w:rPr>
          <w:rFonts w:ascii="Bookman Old Style" w:eastAsia="Times New Roman" w:hAnsi="Bookman Old Style" w:cs="Times New Roman"/>
          <w:color w:val="000000"/>
        </w:rPr>
      </w:pPr>
    </w:p>
    <w:p w:rsidR="00CD1AA0" w:rsidRPr="00733CDB" w:rsidRDefault="00CD1AA0" w:rsidP="00AB79DF">
      <w:pPr>
        <w:shd w:val="clear" w:color="auto" w:fill="FFFFFF"/>
        <w:spacing w:before="23" w:after="23" w:line="240" w:lineRule="auto"/>
        <w:ind w:left="23"/>
        <w:jc w:val="both"/>
        <w:rPr>
          <w:rFonts w:ascii="Bookman Old Style" w:eastAsia="Times New Roman" w:hAnsi="Bookman Old Style" w:cs="Times New Roman"/>
          <w:color w:val="000000"/>
        </w:rPr>
      </w:pPr>
    </w:p>
    <w:p w:rsidR="00E10F86" w:rsidRDefault="00CD1AA0" w:rsidP="00A8109D">
      <w:pPr>
        <w:shd w:val="clear" w:color="auto" w:fill="FFFFFF"/>
        <w:spacing w:after="0" w:line="240" w:lineRule="auto"/>
        <w:jc w:val="center"/>
        <w:outlineLvl w:val="2"/>
        <w:rPr>
          <w:rFonts w:ascii="Bookman Old Style" w:eastAsia="Times New Roman" w:hAnsi="Bookman Old Style" w:cs="Times New Roman"/>
          <w:b/>
          <w:bCs/>
          <w:i/>
          <w:iCs/>
          <w:color w:val="000000"/>
        </w:rPr>
      </w:pPr>
      <w:r w:rsidRPr="00CD1AA0">
        <w:rPr>
          <w:rFonts w:ascii="Bookman Old Style" w:eastAsia="Times New Roman" w:hAnsi="Bookman Old Style" w:cs="Times New Roman"/>
          <w:b/>
          <w:bCs/>
          <w:color w:val="000000"/>
        </w:rPr>
        <w:t>Articolo 1-</w:t>
      </w:r>
      <w:r w:rsidRPr="00CD1AA0">
        <w:rPr>
          <w:rFonts w:ascii="Bookman Old Style" w:eastAsia="Times New Roman" w:hAnsi="Bookman Old Style" w:cs="Times New Roman"/>
          <w:b/>
          <w:bCs/>
          <w:i/>
          <w:iCs/>
          <w:color w:val="000000"/>
        </w:rPr>
        <w:t>bis</w:t>
      </w:r>
    </w:p>
    <w:p w:rsidR="00CD1AA0" w:rsidRDefault="00CD1AA0" w:rsidP="00A8109D">
      <w:pPr>
        <w:shd w:val="clear" w:color="auto" w:fill="FFFFFF"/>
        <w:spacing w:after="0" w:line="240" w:lineRule="auto"/>
        <w:jc w:val="center"/>
        <w:outlineLvl w:val="2"/>
        <w:rPr>
          <w:rFonts w:ascii="Bookman Old Style" w:eastAsia="Times New Roman" w:hAnsi="Bookman Old Style" w:cs="Times New Roman"/>
          <w:b/>
          <w:bCs/>
          <w:i/>
          <w:iCs/>
          <w:color w:val="000000"/>
        </w:rPr>
      </w:pPr>
      <w:r w:rsidRPr="00CD1AA0">
        <w:rPr>
          <w:rFonts w:ascii="Bookman Old Style" w:eastAsia="Times New Roman" w:hAnsi="Bookman Old Style" w:cs="Times New Roman"/>
          <w:b/>
          <w:bCs/>
          <w:i/>
          <w:iCs/>
          <w:color w:val="000000"/>
        </w:rPr>
        <w:t>(Utilizzo proventi da oneri di urbanizzazione per spese di progettazione)</w:t>
      </w:r>
    </w:p>
    <w:p w:rsidR="00A8109D" w:rsidRPr="00CD1AA0" w:rsidRDefault="00A8109D" w:rsidP="00A8109D">
      <w:pPr>
        <w:shd w:val="clear" w:color="auto" w:fill="FFFFFF"/>
        <w:spacing w:after="0" w:line="240" w:lineRule="auto"/>
        <w:jc w:val="center"/>
        <w:outlineLvl w:val="2"/>
        <w:rPr>
          <w:rFonts w:ascii="Bookman Old Style" w:eastAsia="Times New Roman" w:hAnsi="Bookman Old Style" w:cs="Times New Roman"/>
          <w:b/>
          <w:bCs/>
          <w:color w:val="000000"/>
        </w:rPr>
      </w:pPr>
    </w:p>
    <w:p w:rsidR="00346DD4" w:rsidRPr="00F17222" w:rsidRDefault="00CD1AA0" w:rsidP="00377212">
      <w:pPr>
        <w:shd w:val="clear" w:color="auto" w:fill="FFFFFF"/>
        <w:spacing w:after="120" w:line="240" w:lineRule="auto"/>
        <w:jc w:val="both"/>
        <w:rPr>
          <w:rFonts w:ascii="Bookman Old Style" w:hAnsi="Bookman Old Style" w:cs="Arial"/>
          <w:i/>
        </w:rPr>
      </w:pPr>
      <w:r w:rsidRPr="00CD1AA0">
        <w:rPr>
          <w:rFonts w:ascii="Bookman Old Style" w:eastAsia="Times New Roman" w:hAnsi="Bookman Old Style" w:cs="Times New Roman"/>
          <w:color w:val="000000"/>
        </w:rPr>
        <w:t xml:space="preserve">L'articolo in esame, </w:t>
      </w:r>
      <w:r w:rsidR="00E10F86" w:rsidRPr="00E10F86">
        <w:rPr>
          <w:rFonts w:ascii="Bookman Old Style" w:eastAsia="Times New Roman" w:hAnsi="Bookman Old Style" w:cs="Times New Roman"/>
          <w:b/>
        </w:rPr>
        <w:t>proposto dall’ANCI</w:t>
      </w:r>
      <w:r w:rsidR="00E10F86" w:rsidRPr="00E10F86">
        <w:rPr>
          <w:rFonts w:ascii="Bookman Old Style" w:eastAsia="Times New Roman" w:hAnsi="Bookman Old Style" w:cs="Times New Roman"/>
        </w:rPr>
        <w:t xml:space="preserve"> e </w:t>
      </w:r>
      <w:r w:rsidRPr="00CD1AA0">
        <w:rPr>
          <w:rFonts w:ascii="Bookman Old Style" w:eastAsia="Times New Roman" w:hAnsi="Bookman Old Style" w:cs="Times New Roman"/>
        </w:rPr>
        <w:t xml:space="preserve">inserito </w:t>
      </w:r>
      <w:r w:rsidR="00E10F86" w:rsidRPr="00E10F86">
        <w:rPr>
          <w:rFonts w:ascii="Bookman Old Style" w:eastAsia="Times New Roman" w:hAnsi="Bookman Old Style" w:cs="Times New Roman"/>
        </w:rPr>
        <w:t>durante l’esame da parte della commissione bilancio</w:t>
      </w:r>
      <w:r w:rsidRPr="00CD1AA0">
        <w:rPr>
          <w:rFonts w:ascii="Bookman Old Style" w:eastAsia="Times New Roman" w:hAnsi="Bookman Old Style" w:cs="Times New Roman"/>
        </w:rPr>
        <w:t xml:space="preserve">, destina i proventi dei titoli abilitativi edilizi e delle sanzioni in materia edilizia anche alle </w:t>
      </w:r>
      <w:r w:rsidRPr="00CD1AA0">
        <w:rPr>
          <w:rFonts w:ascii="Bookman Old Style" w:eastAsia="Times New Roman" w:hAnsi="Bookman Old Style" w:cs="Times New Roman"/>
          <w:b/>
          <w:bCs/>
        </w:rPr>
        <w:t>spese di progettazione per opere pubbliche</w:t>
      </w:r>
      <w:r w:rsidRPr="00CD1AA0">
        <w:rPr>
          <w:rFonts w:ascii="Bookman Old Style" w:eastAsia="Times New Roman" w:hAnsi="Bookman Old Style" w:cs="Times New Roman"/>
        </w:rPr>
        <w:t>.</w:t>
      </w:r>
      <w:r w:rsidR="00346DD4">
        <w:rPr>
          <w:rFonts w:ascii="Bookman Old Style" w:eastAsia="Times New Roman" w:hAnsi="Bookman Old Style" w:cs="Times New Roman"/>
        </w:rPr>
        <w:t xml:space="preserve"> </w:t>
      </w:r>
    </w:p>
    <w:p w:rsidR="00CD1AA0" w:rsidRPr="00CD1AA0" w:rsidRDefault="00CD1AA0" w:rsidP="00377212">
      <w:pPr>
        <w:shd w:val="clear" w:color="auto" w:fill="FFFFFF"/>
        <w:spacing w:after="120" w:line="240" w:lineRule="auto"/>
        <w:ind w:left="23"/>
        <w:jc w:val="both"/>
        <w:rPr>
          <w:rFonts w:ascii="Bookman Old Style" w:eastAsia="Times New Roman" w:hAnsi="Bookman Old Style" w:cs="Times New Roman"/>
        </w:rPr>
      </w:pPr>
      <w:r w:rsidRPr="00CD1AA0">
        <w:rPr>
          <w:rFonts w:ascii="Bookman Old Style" w:eastAsia="Times New Roman" w:hAnsi="Bookman Old Style" w:cs="Times New Roman"/>
        </w:rPr>
        <w:t xml:space="preserve">A tal fine la disposizione in esame </w:t>
      </w:r>
      <w:r w:rsidR="00E10F86">
        <w:rPr>
          <w:rFonts w:ascii="Bookman Old Style" w:eastAsia="Times New Roman" w:hAnsi="Bookman Old Style" w:cs="Times New Roman"/>
        </w:rPr>
        <w:t>modifica</w:t>
      </w:r>
      <w:r w:rsidRPr="00CD1AA0">
        <w:rPr>
          <w:rFonts w:ascii="Bookman Old Style" w:eastAsia="Times New Roman" w:hAnsi="Bookman Old Style" w:cs="Times New Roman"/>
        </w:rPr>
        <w:t xml:space="preserve"> l'art. 1, comma 460, della legge di bilancio 2017 (legge n. 232 del 2016).</w:t>
      </w:r>
    </w:p>
    <w:p w:rsidR="00CD1AA0" w:rsidRPr="00CD1AA0" w:rsidRDefault="00CD1AA0" w:rsidP="00377212">
      <w:pPr>
        <w:shd w:val="clear" w:color="auto" w:fill="FFFFFF"/>
        <w:spacing w:after="120" w:line="240" w:lineRule="auto"/>
        <w:ind w:left="23"/>
        <w:jc w:val="both"/>
        <w:rPr>
          <w:rFonts w:ascii="Bookman Old Style" w:eastAsia="Times New Roman" w:hAnsi="Bookman Old Style" w:cs="Times New Roman"/>
        </w:rPr>
      </w:pPr>
      <w:r w:rsidRPr="00CD1AA0">
        <w:rPr>
          <w:rFonts w:ascii="Bookman Old Style" w:eastAsia="Times New Roman" w:hAnsi="Bookman Old Style" w:cs="Times New Roman"/>
        </w:rPr>
        <w:t xml:space="preserve">Attualmente, il comma 460 citato prevede che i proventi dei titoli abilitativi edilizi e delle sanzioni previste dal testo unico dell'edilizia di cui al </w:t>
      </w:r>
      <w:hyperlink r:id="rId9" w:history="1">
        <w:r w:rsidRPr="00E10F86">
          <w:rPr>
            <w:rFonts w:ascii="Bookman Old Style" w:eastAsia="Times New Roman" w:hAnsi="Bookman Old Style" w:cs="Times New Roman"/>
          </w:rPr>
          <w:t>decreto del Presidente della Repubblica 6 giugno 2001, n. 380</w:t>
        </w:r>
      </w:hyperlink>
      <w:r w:rsidRPr="00CD1AA0">
        <w:rPr>
          <w:rFonts w:ascii="Bookman Old Style" w:eastAsia="Times New Roman" w:hAnsi="Bookman Old Style" w:cs="Times New Roman"/>
        </w:rPr>
        <w:t>, siano destinati esclusivamente e senza vincoli temporali alle seguenti finalità:</w:t>
      </w:r>
    </w:p>
    <w:p w:rsidR="00CD1AA0" w:rsidRPr="00CD1AA0" w:rsidRDefault="00CD1AA0" w:rsidP="00377212">
      <w:pPr>
        <w:numPr>
          <w:ilvl w:val="0"/>
          <w:numId w:val="2"/>
        </w:numPr>
        <w:shd w:val="clear" w:color="auto" w:fill="FFFFFF"/>
        <w:spacing w:after="120" w:line="240" w:lineRule="auto"/>
        <w:ind w:left="426" w:hanging="426"/>
        <w:jc w:val="both"/>
        <w:rPr>
          <w:rFonts w:ascii="Bookman Old Style" w:eastAsia="Times New Roman" w:hAnsi="Bookman Old Style" w:cs="Times New Roman"/>
        </w:rPr>
      </w:pPr>
      <w:r w:rsidRPr="00CD1AA0">
        <w:rPr>
          <w:rFonts w:ascii="Bookman Old Style" w:eastAsia="Times New Roman" w:hAnsi="Bookman Old Style" w:cs="Times New Roman"/>
        </w:rPr>
        <w:t>realizzazione e manutenzione ordinaria e straordinaria delle opere di urbanizzazione primaria e secondaria;</w:t>
      </w:r>
    </w:p>
    <w:p w:rsidR="00CD1AA0" w:rsidRPr="00CD1AA0" w:rsidRDefault="00CD1AA0" w:rsidP="00377212">
      <w:pPr>
        <w:numPr>
          <w:ilvl w:val="0"/>
          <w:numId w:val="2"/>
        </w:numPr>
        <w:shd w:val="clear" w:color="auto" w:fill="FFFFFF"/>
        <w:spacing w:after="120" w:line="240" w:lineRule="auto"/>
        <w:ind w:left="426" w:hanging="426"/>
        <w:jc w:val="both"/>
        <w:rPr>
          <w:rFonts w:ascii="Bookman Old Style" w:eastAsia="Times New Roman" w:hAnsi="Bookman Old Style" w:cs="Times New Roman"/>
        </w:rPr>
      </w:pPr>
      <w:r w:rsidRPr="00CD1AA0">
        <w:rPr>
          <w:rFonts w:ascii="Bookman Old Style" w:eastAsia="Times New Roman" w:hAnsi="Bookman Old Style" w:cs="Times New Roman"/>
        </w:rPr>
        <w:t>risanamento di complessi edilizi compresi nei centri storici e nelle periferie degradate;</w:t>
      </w:r>
    </w:p>
    <w:p w:rsidR="00CD1AA0" w:rsidRPr="00CD1AA0" w:rsidRDefault="00CD1AA0" w:rsidP="00377212">
      <w:pPr>
        <w:numPr>
          <w:ilvl w:val="0"/>
          <w:numId w:val="2"/>
        </w:numPr>
        <w:shd w:val="clear" w:color="auto" w:fill="FFFFFF"/>
        <w:spacing w:after="120" w:line="240" w:lineRule="auto"/>
        <w:ind w:left="426" w:hanging="426"/>
        <w:jc w:val="both"/>
        <w:rPr>
          <w:rFonts w:ascii="Bookman Old Style" w:eastAsia="Times New Roman" w:hAnsi="Bookman Old Style" w:cs="Times New Roman"/>
        </w:rPr>
      </w:pPr>
      <w:r w:rsidRPr="00CD1AA0">
        <w:rPr>
          <w:rFonts w:ascii="Bookman Old Style" w:eastAsia="Times New Roman" w:hAnsi="Bookman Old Style" w:cs="Times New Roman"/>
        </w:rPr>
        <w:lastRenderedPageBreak/>
        <w:t>interventi di riuso e di rigenerazione;</w:t>
      </w:r>
    </w:p>
    <w:p w:rsidR="00CD1AA0" w:rsidRPr="00CD1AA0" w:rsidRDefault="00CD1AA0" w:rsidP="00377212">
      <w:pPr>
        <w:numPr>
          <w:ilvl w:val="0"/>
          <w:numId w:val="2"/>
        </w:numPr>
        <w:shd w:val="clear" w:color="auto" w:fill="FFFFFF"/>
        <w:spacing w:after="120" w:line="240" w:lineRule="auto"/>
        <w:ind w:left="426" w:hanging="426"/>
        <w:jc w:val="both"/>
        <w:rPr>
          <w:rFonts w:ascii="Bookman Old Style" w:eastAsia="Times New Roman" w:hAnsi="Bookman Old Style" w:cs="Times New Roman"/>
          <w:color w:val="000000"/>
        </w:rPr>
      </w:pPr>
      <w:r w:rsidRPr="00CD1AA0">
        <w:rPr>
          <w:rFonts w:ascii="Bookman Old Style" w:eastAsia="Times New Roman" w:hAnsi="Bookman Old Style" w:cs="Times New Roman"/>
          <w:color w:val="000000"/>
        </w:rPr>
        <w:t xml:space="preserve">interventi di demolizione di costruzioni abusive; </w:t>
      </w:r>
    </w:p>
    <w:p w:rsidR="00CD1AA0" w:rsidRPr="00CD1AA0" w:rsidRDefault="00CD1AA0" w:rsidP="00377212">
      <w:pPr>
        <w:numPr>
          <w:ilvl w:val="0"/>
          <w:numId w:val="2"/>
        </w:numPr>
        <w:shd w:val="clear" w:color="auto" w:fill="FFFFFF"/>
        <w:spacing w:after="120" w:line="240" w:lineRule="auto"/>
        <w:ind w:left="426" w:hanging="426"/>
        <w:jc w:val="both"/>
        <w:rPr>
          <w:rFonts w:ascii="Bookman Old Style" w:eastAsia="Times New Roman" w:hAnsi="Bookman Old Style" w:cs="Times New Roman"/>
          <w:color w:val="000000"/>
        </w:rPr>
      </w:pPr>
      <w:r w:rsidRPr="00CD1AA0">
        <w:rPr>
          <w:rFonts w:ascii="Bookman Old Style" w:eastAsia="Times New Roman" w:hAnsi="Bookman Old Style" w:cs="Times New Roman"/>
          <w:color w:val="000000"/>
        </w:rPr>
        <w:t xml:space="preserve">acquisizione e realizzazione di aree verdi destinate a uso pubblico; </w:t>
      </w:r>
    </w:p>
    <w:p w:rsidR="00CD1AA0" w:rsidRPr="00CD1AA0" w:rsidRDefault="00CD1AA0" w:rsidP="00377212">
      <w:pPr>
        <w:numPr>
          <w:ilvl w:val="0"/>
          <w:numId w:val="2"/>
        </w:numPr>
        <w:shd w:val="clear" w:color="auto" w:fill="FFFFFF"/>
        <w:spacing w:after="120" w:line="240" w:lineRule="auto"/>
        <w:ind w:left="426" w:hanging="426"/>
        <w:jc w:val="both"/>
        <w:rPr>
          <w:rFonts w:ascii="Bookman Old Style" w:eastAsia="Times New Roman" w:hAnsi="Bookman Old Style" w:cs="Times New Roman"/>
          <w:color w:val="000000"/>
        </w:rPr>
      </w:pPr>
      <w:r w:rsidRPr="00CD1AA0">
        <w:rPr>
          <w:rFonts w:ascii="Bookman Old Style" w:eastAsia="Times New Roman" w:hAnsi="Bookman Old Style" w:cs="Times New Roman"/>
          <w:color w:val="000000"/>
        </w:rPr>
        <w:t>interventi di tutela e riqualificazione dell'ambiente e del paesaggio, anche ai fini della prevenzione e della mitigazione del rischio idrogeologico e sismico e della tutela e riqualificazione del patrimonio rurale pubblico;</w:t>
      </w:r>
    </w:p>
    <w:p w:rsidR="00F37787" w:rsidRDefault="00CD1AA0" w:rsidP="00377212">
      <w:pPr>
        <w:numPr>
          <w:ilvl w:val="0"/>
          <w:numId w:val="2"/>
        </w:numPr>
        <w:shd w:val="clear" w:color="auto" w:fill="FFFFFF"/>
        <w:spacing w:after="120" w:line="240" w:lineRule="auto"/>
        <w:ind w:left="426" w:hanging="426"/>
        <w:jc w:val="both"/>
        <w:rPr>
          <w:rFonts w:ascii="Bookman Old Style" w:eastAsia="Times New Roman" w:hAnsi="Bookman Old Style" w:cs="Times New Roman"/>
          <w:color w:val="000000"/>
        </w:rPr>
      </w:pPr>
      <w:r w:rsidRPr="00CD1AA0">
        <w:rPr>
          <w:rFonts w:ascii="Bookman Old Style" w:eastAsia="Times New Roman" w:hAnsi="Bookman Old Style" w:cs="Times New Roman"/>
          <w:color w:val="000000"/>
        </w:rPr>
        <w:t xml:space="preserve">interventi volti a favorire l'insediamento di attività di agricoltura nell'ambito urbano. </w:t>
      </w:r>
    </w:p>
    <w:p w:rsidR="00F37787" w:rsidRPr="00F37787" w:rsidRDefault="00F37787" w:rsidP="00377212">
      <w:pPr>
        <w:shd w:val="clear" w:color="auto" w:fill="FFFFFF"/>
        <w:spacing w:after="120" w:line="240" w:lineRule="auto"/>
        <w:jc w:val="both"/>
        <w:rPr>
          <w:rFonts w:ascii="Bookman Old Style" w:eastAsia="Times New Roman" w:hAnsi="Bookman Old Style" w:cs="Times New Roman"/>
          <w:color w:val="000000"/>
        </w:rPr>
      </w:pPr>
    </w:p>
    <w:p w:rsidR="00CD1AA0" w:rsidRPr="00377212" w:rsidRDefault="00CD1AA0" w:rsidP="00377212">
      <w:pPr>
        <w:spacing w:after="120" w:line="240" w:lineRule="auto"/>
        <w:rPr>
          <w:rFonts w:ascii="Bookman Old Style" w:hAnsi="Bookman Old Style"/>
        </w:rPr>
      </w:pPr>
    </w:p>
    <w:p w:rsidR="001E34A1" w:rsidRPr="00377212" w:rsidRDefault="001E34A1" w:rsidP="00377212">
      <w:pPr>
        <w:shd w:val="clear" w:color="auto" w:fill="FFFFFF"/>
        <w:spacing w:after="120" w:line="240" w:lineRule="auto"/>
        <w:jc w:val="center"/>
        <w:outlineLvl w:val="2"/>
        <w:rPr>
          <w:rFonts w:ascii="Bookman Old Style" w:eastAsia="Times New Roman" w:hAnsi="Bookman Old Style" w:cs="Times New Roman"/>
          <w:b/>
          <w:bCs/>
          <w:i/>
          <w:iCs/>
        </w:rPr>
      </w:pPr>
      <w:r w:rsidRPr="00377212">
        <w:rPr>
          <w:rFonts w:ascii="Bookman Old Style" w:eastAsia="Times New Roman" w:hAnsi="Bookman Old Style" w:cs="Times New Roman"/>
          <w:b/>
          <w:bCs/>
        </w:rPr>
        <w:t>Articolo 1-</w:t>
      </w:r>
      <w:r w:rsidRPr="00377212">
        <w:rPr>
          <w:rFonts w:ascii="Bookman Old Style" w:eastAsia="Times New Roman" w:hAnsi="Bookman Old Style" w:cs="Times New Roman"/>
          <w:b/>
          <w:bCs/>
          <w:i/>
          <w:iCs/>
        </w:rPr>
        <w:t>ter</w:t>
      </w:r>
    </w:p>
    <w:p w:rsidR="001E34A1" w:rsidRPr="00377212" w:rsidRDefault="001E34A1" w:rsidP="001E34A1">
      <w:pPr>
        <w:shd w:val="clear" w:color="auto" w:fill="FFFFFF"/>
        <w:spacing w:after="0" w:line="240" w:lineRule="auto"/>
        <w:jc w:val="center"/>
        <w:outlineLvl w:val="2"/>
        <w:rPr>
          <w:rFonts w:ascii="Bookman Old Style" w:eastAsia="Times New Roman" w:hAnsi="Bookman Old Style" w:cs="Times New Roman"/>
          <w:b/>
          <w:bCs/>
          <w:i/>
          <w:iCs/>
        </w:rPr>
      </w:pPr>
      <w:r w:rsidRPr="00377212">
        <w:rPr>
          <w:rFonts w:ascii="Bookman Old Style" w:eastAsia="Times New Roman" w:hAnsi="Bookman Old Style" w:cs="Times New Roman"/>
          <w:b/>
          <w:bCs/>
          <w:i/>
          <w:iCs/>
        </w:rPr>
        <w:t>(Disposizioni relative alla trasmissione dei dati delle fatture emesse e ricevute)</w:t>
      </w:r>
    </w:p>
    <w:p w:rsidR="001E34A1" w:rsidRPr="00377212" w:rsidRDefault="001E34A1" w:rsidP="001E34A1">
      <w:pPr>
        <w:pStyle w:val="Paragrafoelenco"/>
        <w:ind w:left="0"/>
        <w:jc w:val="both"/>
        <w:rPr>
          <w:rFonts w:ascii="Bookman Old Style" w:eastAsia="Times New Roman" w:hAnsi="Bookman Old Style" w:cs="Times New Roman"/>
        </w:rPr>
      </w:pPr>
    </w:p>
    <w:p w:rsidR="001E34A1" w:rsidRPr="00377212" w:rsidRDefault="001E34A1" w:rsidP="00377212">
      <w:pPr>
        <w:pStyle w:val="Paragrafoelenco"/>
        <w:spacing w:after="120" w:line="240" w:lineRule="auto"/>
        <w:ind w:left="0"/>
        <w:jc w:val="both"/>
        <w:rPr>
          <w:rFonts w:ascii="Bookman Old Style" w:hAnsi="Bookman Old Style"/>
          <w:bCs/>
        </w:rPr>
      </w:pPr>
      <w:r w:rsidRPr="00377212">
        <w:rPr>
          <w:rFonts w:ascii="Bookman Old Style" w:hAnsi="Bookman Old Style"/>
        </w:rPr>
        <w:t xml:space="preserve">L’art. 1-ter, inserito in sede di conversione del decreto-legge, </w:t>
      </w:r>
      <w:r w:rsidRPr="00377212">
        <w:rPr>
          <w:rFonts w:ascii="Bookman Old Style" w:hAnsi="Bookman Old Style"/>
          <w:bCs/>
        </w:rPr>
        <w:t xml:space="preserve">apporta modifiche alla disciplina dello </w:t>
      </w:r>
      <w:proofErr w:type="spellStart"/>
      <w:r w:rsidRPr="00377212">
        <w:rPr>
          <w:rFonts w:ascii="Bookman Old Style" w:hAnsi="Bookman Old Style"/>
          <w:bCs/>
        </w:rPr>
        <w:t>spesometro</w:t>
      </w:r>
      <w:proofErr w:type="spellEnd"/>
      <w:r w:rsidRPr="00377212">
        <w:rPr>
          <w:rFonts w:ascii="Bookman Old Style" w:hAnsi="Bookman Old Style"/>
          <w:bCs/>
        </w:rPr>
        <w:t xml:space="preserve">, come più </w:t>
      </w:r>
      <w:r w:rsidR="00180EB8" w:rsidRPr="00377212">
        <w:rPr>
          <w:rFonts w:ascii="Bookman Old Style" w:hAnsi="Bookman Old Style"/>
          <w:bCs/>
        </w:rPr>
        <w:t xml:space="preserve">volte </w:t>
      </w:r>
      <w:r w:rsidRPr="00377212">
        <w:rPr>
          <w:rFonts w:ascii="Bookman Old Style" w:hAnsi="Bookman Old Style"/>
          <w:bCs/>
        </w:rPr>
        <w:t xml:space="preserve">richiesto anche da Anci.  </w:t>
      </w:r>
    </w:p>
    <w:p w:rsidR="001E34A1" w:rsidRPr="00377212" w:rsidRDefault="001E34A1" w:rsidP="00377212">
      <w:pPr>
        <w:pStyle w:val="Paragrafoelenco"/>
        <w:spacing w:after="120" w:line="240" w:lineRule="auto"/>
        <w:ind w:left="0"/>
        <w:jc w:val="both"/>
        <w:rPr>
          <w:rFonts w:ascii="Bookman Old Style" w:hAnsi="Bookman Old Style"/>
          <w:bCs/>
        </w:rPr>
      </w:pPr>
      <w:r w:rsidRPr="00377212">
        <w:rPr>
          <w:rFonts w:ascii="Bookman Old Style" w:eastAsia="Times New Roman" w:hAnsi="Bookman Old Style" w:cs="Times New Roman"/>
        </w:rPr>
        <w:t xml:space="preserve">A tal fine la disposizione in esame modifica la disciplina previgente, disponendo </w:t>
      </w:r>
      <w:r w:rsidRPr="00377212">
        <w:rPr>
          <w:rFonts w:ascii="Bookman Old Style" w:hAnsi="Bookman Old Style"/>
          <w:bCs/>
        </w:rPr>
        <w:t>che:</w:t>
      </w:r>
    </w:p>
    <w:p w:rsidR="001E34A1" w:rsidRPr="00377212" w:rsidRDefault="001E34A1" w:rsidP="00377212">
      <w:pPr>
        <w:pStyle w:val="Paragrafoelenco"/>
        <w:numPr>
          <w:ilvl w:val="0"/>
          <w:numId w:val="16"/>
        </w:numPr>
        <w:spacing w:after="120" w:line="240" w:lineRule="auto"/>
        <w:ind w:left="322" w:hanging="322"/>
        <w:jc w:val="both"/>
        <w:rPr>
          <w:rFonts w:ascii="Bookman Old Style" w:eastAsia="Times New Roman" w:hAnsi="Bookman Old Style" w:cs="Times New Roman"/>
        </w:rPr>
      </w:pPr>
      <w:r w:rsidRPr="00377212">
        <w:rPr>
          <w:rFonts w:ascii="Bookman Old Style" w:eastAsia="Times New Roman" w:hAnsi="Bookman Old Style" w:cs="Times New Roman"/>
        </w:rPr>
        <w:t>le sanzioni amministrative pecuniarie per l’errata trasmissione dei dati delle fatture emesse e ricevute per il primo semestre 2017 non si applicano, a condizione che i dati esatti siano trasmessi entro il 28 febbraio 2018 (</w:t>
      </w:r>
      <w:r w:rsidRPr="00B816CC">
        <w:rPr>
          <w:rFonts w:ascii="Bookman Old Style" w:eastAsia="Times New Roman" w:hAnsi="Bookman Old Style" w:cs="Times New Roman"/>
          <w:b/>
        </w:rPr>
        <w:t>comma 1</w:t>
      </w:r>
      <w:r w:rsidRPr="00377212">
        <w:rPr>
          <w:rFonts w:ascii="Bookman Old Style" w:eastAsia="Times New Roman" w:hAnsi="Bookman Old Style" w:cs="Times New Roman"/>
        </w:rPr>
        <w:t>);</w:t>
      </w:r>
    </w:p>
    <w:p w:rsidR="001E34A1" w:rsidRPr="00377212" w:rsidRDefault="001E34A1" w:rsidP="00377212">
      <w:pPr>
        <w:pStyle w:val="Paragrafoelenco"/>
        <w:numPr>
          <w:ilvl w:val="0"/>
          <w:numId w:val="16"/>
        </w:numPr>
        <w:spacing w:after="120" w:line="240" w:lineRule="auto"/>
        <w:ind w:left="322" w:hanging="322"/>
        <w:jc w:val="both"/>
        <w:rPr>
          <w:rFonts w:ascii="Bookman Old Style" w:eastAsia="Times New Roman" w:hAnsi="Bookman Old Style" w:cs="Times New Roman"/>
        </w:rPr>
      </w:pPr>
      <w:r w:rsidRPr="00377212">
        <w:rPr>
          <w:rFonts w:ascii="Bookman Old Style" w:eastAsia="Times New Roman" w:hAnsi="Bookman Old Style" w:cs="Times New Roman"/>
        </w:rPr>
        <w:t>i contribuenti possono trasmettere semestralmente (anziché trimestralmente) i dati delle fatture emesse e ricevute, limitando altresì il set delle informazioni richieste a partita IVA dei soggetti coinvolti o codice fiscale per i soggetti che non hanno partita IV, data e numero della fattura, base imponibile e aliquota, imposta (</w:t>
      </w:r>
      <w:r w:rsidRPr="00B816CC">
        <w:rPr>
          <w:rFonts w:ascii="Bookman Old Style" w:eastAsia="Times New Roman" w:hAnsi="Bookman Old Style" w:cs="Times New Roman"/>
          <w:b/>
        </w:rPr>
        <w:t>comma 2</w:t>
      </w:r>
      <w:r w:rsidRPr="00377212">
        <w:rPr>
          <w:rFonts w:ascii="Bookman Old Style" w:eastAsia="Times New Roman" w:hAnsi="Bookman Old Style" w:cs="Times New Roman"/>
        </w:rPr>
        <w:t xml:space="preserve">, lettera a); </w:t>
      </w:r>
    </w:p>
    <w:p w:rsidR="001E34A1" w:rsidRPr="00377212" w:rsidRDefault="001E34A1" w:rsidP="00377212">
      <w:pPr>
        <w:pStyle w:val="Paragrafoelenco"/>
        <w:numPr>
          <w:ilvl w:val="0"/>
          <w:numId w:val="16"/>
        </w:numPr>
        <w:spacing w:after="120" w:line="240" w:lineRule="auto"/>
        <w:ind w:left="322" w:hanging="322"/>
        <w:jc w:val="both"/>
        <w:rPr>
          <w:rFonts w:ascii="Bookman Old Style" w:eastAsia="Times New Roman" w:hAnsi="Bookman Old Style" w:cs="Times New Roman"/>
        </w:rPr>
      </w:pPr>
      <w:r w:rsidRPr="00377212">
        <w:rPr>
          <w:rFonts w:ascii="Bookman Old Style" w:eastAsia="Times New Roman" w:hAnsi="Bookman Old Style" w:cs="Times New Roman"/>
        </w:rPr>
        <w:t>è possibile trasmettere i dati del documento riepilogativo per le fatture emesse e ricevute di importo inferiore a 300 euro, registrate cumulativamente (comma 2, lettera b);</w:t>
      </w:r>
    </w:p>
    <w:p w:rsidR="001E34A1" w:rsidRPr="00377212" w:rsidRDefault="001E34A1" w:rsidP="00377212">
      <w:pPr>
        <w:pStyle w:val="Paragrafoelenco"/>
        <w:numPr>
          <w:ilvl w:val="0"/>
          <w:numId w:val="16"/>
        </w:numPr>
        <w:spacing w:after="120" w:line="240" w:lineRule="auto"/>
        <w:ind w:left="322" w:hanging="322"/>
        <w:jc w:val="both"/>
        <w:rPr>
          <w:rFonts w:ascii="Bookman Old Style" w:hAnsi="Bookman Old Style"/>
          <w:bCs/>
        </w:rPr>
      </w:pPr>
      <w:r w:rsidRPr="00377212">
        <w:rPr>
          <w:rFonts w:ascii="Bookman Old Style" w:hAnsi="Bookman Old Style"/>
          <w:bCs/>
        </w:rPr>
        <w:t xml:space="preserve">le amministrazioni pubbliche non sono tenute all’invio dei dati relativi a fatture emesse nei confronti dei consumatori finali. </w:t>
      </w:r>
      <w:r w:rsidRPr="00377212">
        <w:rPr>
          <w:rFonts w:ascii="Bookman Old Style" w:hAnsi="Bookman Old Style"/>
          <w:b/>
          <w:bCs/>
        </w:rPr>
        <w:t>Viene così risolto il problema</w:t>
      </w:r>
      <w:r w:rsidRPr="00377212">
        <w:rPr>
          <w:rFonts w:ascii="Bookman Old Style" w:hAnsi="Bookman Old Style"/>
          <w:bCs/>
        </w:rPr>
        <w:t xml:space="preserve"> emerso nei mesi scorsi relativo all’invio, da parte dei </w:t>
      </w:r>
      <w:r w:rsidR="00FA49EC" w:rsidRPr="00377212">
        <w:rPr>
          <w:rFonts w:ascii="Bookman Old Style" w:hAnsi="Bookman Old Style"/>
          <w:bCs/>
        </w:rPr>
        <w:t>C</w:t>
      </w:r>
      <w:r w:rsidRPr="00377212">
        <w:rPr>
          <w:rFonts w:ascii="Bookman Old Style" w:hAnsi="Bookman Old Style"/>
          <w:bCs/>
        </w:rPr>
        <w:t xml:space="preserve">omuni, </w:t>
      </w:r>
      <w:r w:rsidRPr="00377212">
        <w:rPr>
          <w:rFonts w:ascii="Bookman Old Style" w:hAnsi="Bookman Old Style"/>
          <w:b/>
          <w:bCs/>
        </w:rPr>
        <w:t xml:space="preserve">delle fatture delle lampade votive e di quelle relative al servizio idrico </w:t>
      </w:r>
      <w:r w:rsidRPr="00377212">
        <w:rPr>
          <w:rFonts w:ascii="Bookman Old Style" w:hAnsi="Bookman Old Style"/>
          <w:bCs/>
        </w:rPr>
        <w:t>(</w:t>
      </w:r>
      <w:r w:rsidRPr="00B816CC">
        <w:rPr>
          <w:rFonts w:ascii="Bookman Old Style" w:hAnsi="Bookman Old Style"/>
          <w:b/>
          <w:bCs/>
        </w:rPr>
        <w:t>comma 3</w:t>
      </w:r>
      <w:r w:rsidRPr="00377212">
        <w:rPr>
          <w:rFonts w:ascii="Bookman Old Style" w:hAnsi="Bookman Old Style"/>
          <w:bCs/>
        </w:rPr>
        <w:t>);</w:t>
      </w:r>
    </w:p>
    <w:p w:rsidR="001E34A1" w:rsidRPr="00377212" w:rsidRDefault="001E34A1" w:rsidP="00377212">
      <w:pPr>
        <w:pStyle w:val="Paragrafoelenco"/>
        <w:numPr>
          <w:ilvl w:val="0"/>
          <w:numId w:val="16"/>
        </w:numPr>
        <w:spacing w:after="120" w:line="240" w:lineRule="auto"/>
        <w:ind w:left="322" w:hanging="322"/>
        <w:jc w:val="both"/>
        <w:rPr>
          <w:rFonts w:ascii="Bookman Old Style" w:hAnsi="Bookman Old Style"/>
          <w:bCs/>
        </w:rPr>
      </w:pPr>
      <w:r w:rsidRPr="00377212">
        <w:rPr>
          <w:rFonts w:ascii="Bookman Old Style" w:hAnsi="Bookman Old Style"/>
          <w:bCs/>
        </w:rPr>
        <w:t>non sono tenuti alla comunicazione dei dati delle fatture ricevute i produttori agricoli delle zone montane che nell’anno solare precedente hanno realizzato o, in caso di inizio di attività, prevedono di realizzare un volume d’affari non superiore a 7.000 euro (</w:t>
      </w:r>
      <w:r w:rsidRPr="00B816CC">
        <w:rPr>
          <w:rFonts w:ascii="Bookman Old Style" w:hAnsi="Bookman Old Style"/>
          <w:b/>
          <w:bCs/>
        </w:rPr>
        <w:t>comma 4</w:t>
      </w:r>
      <w:r w:rsidRPr="00377212">
        <w:rPr>
          <w:rFonts w:ascii="Bookman Old Style" w:hAnsi="Bookman Old Style"/>
          <w:bCs/>
        </w:rPr>
        <w:t>).</w:t>
      </w:r>
    </w:p>
    <w:p w:rsidR="001E34A1" w:rsidRPr="00377212" w:rsidRDefault="001E34A1" w:rsidP="00377212">
      <w:pPr>
        <w:spacing w:after="120" w:line="240" w:lineRule="auto"/>
        <w:jc w:val="both"/>
        <w:rPr>
          <w:rFonts w:ascii="Bookman Old Style" w:eastAsia="Times New Roman" w:hAnsi="Bookman Old Style" w:cs="Times New Roman"/>
        </w:rPr>
      </w:pPr>
      <w:r w:rsidRPr="00377212">
        <w:rPr>
          <w:rFonts w:ascii="Bookman Old Style" w:hAnsi="Bookman Old Style"/>
          <w:bCs/>
        </w:rPr>
        <w:t>Le modalità di attuazione di quanto previsto dall’articolo saranno dispost</w:t>
      </w:r>
      <w:r w:rsidR="00180EB8" w:rsidRPr="00377212">
        <w:rPr>
          <w:rFonts w:ascii="Bookman Old Style" w:hAnsi="Bookman Old Style"/>
          <w:bCs/>
        </w:rPr>
        <w:t>e</w:t>
      </w:r>
      <w:r w:rsidRPr="00377212">
        <w:rPr>
          <w:rFonts w:ascii="Bookman Old Style" w:hAnsi="Bookman Old Style"/>
          <w:bCs/>
        </w:rPr>
        <w:t xml:space="preserve"> con provvedimento del direttore dell’Agenzia delle entrate (</w:t>
      </w:r>
      <w:r w:rsidRPr="00B816CC">
        <w:rPr>
          <w:rFonts w:ascii="Bookman Old Style" w:hAnsi="Bookman Old Style"/>
          <w:b/>
          <w:bCs/>
        </w:rPr>
        <w:t>comma 5</w:t>
      </w:r>
      <w:r w:rsidRPr="00377212">
        <w:rPr>
          <w:rFonts w:ascii="Bookman Old Style" w:hAnsi="Bookman Old Style"/>
          <w:bCs/>
        </w:rPr>
        <w:t>).</w:t>
      </w:r>
    </w:p>
    <w:p w:rsidR="001E34A1" w:rsidRPr="00377212" w:rsidRDefault="001E34A1">
      <w:pPr>
        <w:rPr>
          <w:rFonts w:ascii="Bookman Old Style" w:hAnsi="Bookman Old Style"/>
        </w:rPr>
      </w:pPr>
    </w:p>
    <w:p w:rsidR="00346DD4" w:rsidRDefault="00CD1AA0" w:rsidP="00377212">
      <w:pPr>
        <w:keepNext/>
        <w:shd w:val="clear" w:color="auto" w:fill="FFFFFF"/>
        <w:spacing w:after="0" w:line="240" w:lineRule="auto"/>
        <w:jc w:val="center"/>
        <w:outlineLvl w:val="2"/>
        <w:rPr>
          <w:rFonts w:ascii="Bookman Old Style" w:eastAsia="Times New Roman" w:hAnsi="Bookman Old Style" w:cs="Times New Roman"/>
          <w:b/>
          <w:bCs/>
          <w:color w:val="000000"/>
        </w:rPr>
      </w:pPr>
      <w:r w:rsidRPr="00CD1AA0">
        <w:rPr>
          <w:rFonts w:ascii="Bookman Old Style" w:eastAsia="Times New Roman" w:hAnsi="Bookman Old Style" w:cs="Times New Roman"/>
          <w:b/>
          <w:bCs/>
          <w:color w:val="000000"/>
        </w:rPr>
        <w:t>Articolo 2</w:t>
      </w:r>
    </w:p>
    <w:p w:rsidR="00CD1AA0" w:rsidRDefault="00CD1AA0" w:rsidP="00377212">
      <w:pPr>
        <w:keepNext/>
        <w:shd w:val="clear" w:color="auto" w:fill="FFFFFF"/>
        <w:spacing w:after="0" w:line="240" w:lineRule="auto"/>
        <w:jc w:val="center"/>
        <w:outlineLvl w:val="2"/>
        <w:rPr>
          <w:rFonts w:ascii="Bookman Old Style" w:eastAsia="Times New Roman" w:hAnsi="Bookman Old Style" w:cs="Times New Roman"/>
          <w:b/>
          <w:bCs/>
          <w:i/>
          <w:iCs/>
          <w:color w:val="000000"/>
        </w:rPr>
      </w:pPr>
      <w:r w:rsidRPr="00CD1AA0">
        <w:rPr>
          <w:rFonts w:ascii="Bookman Old Style" w:eastAsia="Times New Roman" w:hAnsi="Bookman Old Style" w:cs="Times New Roman"/>
          <w:b/>
          <w:bCs/>
          <w:i/>
          <w:iCs/>
          <w:color w:val="000000"/>
        </w:rPr>
        <w:t>(Sospensione dei termini per l'adempimento degli obblighi tributari e contributivi nei territori colpiti da calamità naturali)</w:t>
      </w:r>
    </w:p>
    <w:p w:rsidR="00A8109D" w:rsidRPr="00CD1AA0" w:rsidRDefault="00A8109D" w:rsidP="00377212">
      <w:pPr>
        <w:keepNext/>
        <w:shd w:val="clear" w:color="auto" w:fill="FFFFFF"/>
        <w:spacing w:after="0" w:line="240" w:lineRule="auto"/>
        <w:jc w:val="center"/>
        <w:outlineLvl w:val="2"/>
        <w:rPr>
          <w:rFonts w:ascii="Bookman Old Style" w:eastAsia="Times New Roman" w:hAnsi="Bookman Old Style" w:cs="Times New Roman"/>
          <w:b/>
          <w:bCs/>
          <w:color w:val="000000"/>
        </w:rPr>
      </w:pPr>
    </w:p>
    <w:p w:rsidR="003F6A6F" w:rsidRDefault="00CD1AA0" w:rsidP="00377212">
      <w:pPr>
        <w:shd w:val="clear" w:color="auto" w:fill="FFFFFF"/>
        <w:spacing w:after="120" w:line="240" w:lineRule="auto"/>
        <w:jc w:val="both"/>
        <w:rPr>
          <w:rFonts w:ascii="Bookman Old Style" w:eastAsia="Times New Roman" w:hAnsi="Bookman Old Style" w:cs="Times New Roman"/>
          <w:bCs/>
          <w:color w:val="000000"/>
        </w:rPr>
      </w:pPr>
      <w:r w:rsidRPr="00CD1AA0">
        <w:rPr>
          <w:rFonts w:ascii="Bookman Old Style" w:eastAsia="Times New Roman" w:hAnsi="Bookman Old Style" w:cs="Times New Roman"/>
          <w:color w:val="000000"/>
        </w:rPr>
        <w:t>L'</w:t>
      </w:r>
      <w:r w:rsidRPr="00CD1AA0">
        <w:rPr>
          <w:rFonts w:ascii="Bookman Old Style" w:eastAsia="Times New Roman" w:hAnsi="Bookman Old Style" w:cs="Times New Roman"/>
          <w:b/>
          <w:bCs/>
          <w:color w:val="000000"/>
        </w:rPr>
        <w:t xml:space="preserve">articolo 2 </w:t>
      </w:r>
      <w:r w:rsidR="0005173F" w:rsidRPr="00377212">
        <w:rPr>
          <w:rFonts w:ascii="Bookman Old Style" w:eastAsia="Times New Roman" w:hAnsi="Bookman Old Style" w:cs="Times New Roman"/>
          <w:bCs/>
          <w:color w:val="000000"/>
        </w:rPr>
        <w:t>prevede la sospensione dei</w:t>
      </w:r>
      <w:r w:rsidR="0005173F" w:rsidRPr="00C4171A">
        <w:t xml:space="preserve"> </w:t>
      </w:r>
      <w:r w:rsidR="0005173F" w:rsidRPr="00377212">
        <w:rPr>
          <w:rFonts w:ascii="Bookman Old Style" w:eastAsia="Times New Roman" w:hAnsi="Bookman Old Style" w:cs="Times New Roman"/>
          <w:bCs/>
          <w:color w:val="000000"/>
        </w:rPr>
        <w:t xml:space="preserve">termini per l'adempimento degli obblighi tributari e contributivi </w:t>
      </w:r>
      <w:r w:rsidR="00947E99">
        <w:rPr>
          <w:rFonts w:ascii="Bookman Old Style" w:eastAsia="Times New Roman" w:hAnsi="Bookman Old Style" w:cs="Times New Roman"/>
          <w:bCs/>
          <w:color w:val="000000"/>
        </w:rPr>
        <w:t xml:space="preserve">da parte delle </w:t>
      </w:r>
      <w:r w:rsidR="003853A7" w:rsidRPr="00377212">
        <w:rPr>
          <w:rFonts w:ascii="Bookman Old Style" w:eastAsia="Times New Roman" w:hAnsi="Bookman Old Style" w:cs="Times New Roman"/>
          <w:bCs/>
          <w:color w:val="000000"/>
        </w:rPr>
        <w:t xml:space="preserve">persone fisiche e </w:t>
      </w:r>
      <w:r w:rsidR="00947E99">
        <w:rPr>
          <w:rFonts w:ascii="Bookman Old Style" w:eastAsia="Times New Roman" w:hAnsi="Bookman Old Style" w:cs="Times New Roman"/>
          <w:bCs/>
          <w:color w:val="000000"/>
        </w:rPr>
        <w:t>del</w:t>
      </w:r>
      <w:r w:rsidR="003853A7" w:rsidRPr="00377212">
        <w:rPr>
          <w:rFonts w:ascii="Bookman Old Style" w:eastAsia="Times New Roman" w:hAnsi="Bookman Old Style" w:cs="Times New Roman"/>
          <w:bCs/>
          <w:color w:val="000000"/>
        </w:rPr>
        <w:t>le persone giuridiche</w:t>
      </w:r>
      <w:r w:rsidR="003853A7">
        <w:rPr>
          <w:rFonts w:ascii="Bookman Old Style" w:eastAsia="Times New Roman" w:hAnsi="Bookman Old Style" w:cs="Times New Roman"/>
          <w:b/>
          <w:bCs/>
          <w:color w:val="000000"/>
        </w:rPr>
        <w:t xml:space="preserve"> </w:t>
      </w:r>
      <w:r w:rsidR="003F6A6F">
        <w:rPr>
          <w:rFonts w:ascii="Bookman Old Style" w:eastAsia="Times New Roman" w:hAnsi="Bookman Old Style" w:cs="Times New Roman"/>
          <w:bCs/>
          <w:color w:val="000000"/>
        </w:rPr>
        <w:t>aventi la residenza o la sede operativa nei Comuni di Collesalvetti, Rosignano e Livorno</w:t>
      </w:r>
      <w:r w:rsidR="00947E99">
        <w:rPr>
          <w:rFonts w:ascii="Bookman Old Style" w:eastAsia="Times New Roman" w:hAnsi="Bookman Old Style" w:cs="Times New Roman"/>
          <w:bCs/>
          <w:color w:val="000000"/>
        </w:rPr>
        <w:t xml:space="preserve"> colpiti da eventi alluvionali</w:t>
      </w:r>
      <w:r w:rsidR="003F6A6F">
        <w:rPr>
          <w:rFonts w:ascii="Bookman Old Style" w:eastAsia="Times New Roman" w:hAnsi="Bookman Old Style" w:cs="Times New Roman"/>
          <w:bCs/>
          <w:color w:val="000000"/>
        </w:rPr>
        <w:t xml:space="preserve">. I termini degli adempimenti e dei versamenti tributari </w:t>
      </w:r>
      <w:r w:rsidR="003F6A6F" w:rsidRPr="003F6A6F">
        <w:rPr>
          <w:rFonts w:ascii="Bookman Old Style" w:eastAsia="Times New Roman" w:hAnsi="Bookman Old Style" w:cs="Times New Roman"/>
          <w:bCs/>
          <w:color w:val="000000"/>
        </w:rPr>
        <w:t>inclusi quelli derivanti da</w:t>
      </w:r>
      <w:r w:rsidR="003F6A6F">
        <w:rPr>
          <w:rFonts w:ascii="Bookman Old Style" w:eastAsia="Times New Roman" w:hAnsi="Bookman Old Style" w:cs="Times New Roman"/>
          <w:bCs/>
          <w:color w:val="000000"/>
        </w:rPr>
        <w:t xml:space="preserve"> </w:t>
      </w:r>
      <w:r w:rsidR="003F6A6F" w:rsidRPr="003F6A6F">
        <w:rPr>
          <w:rFonts w:ascii="Bookman Old Style" w:eastAsia="Times New Roman" w:hAnsi="Bookman Old Style" w:cs="Times New Roman"/>
          <w:bCs/>
          <w:color w:val="000000"/>
        </w:rPr>
        <w:t>cartelle di pagamento emesse dagli agenti della riscossione</w:t>
      </w:r>
      <w:r w:rsidR="003F6A6F">
        <w:rPr>
          <w:rFonts w:ascii="Bookman Old Style" w:eastAsia="Times New Roman" w:hAnsi="Bookman Old Style" w:cs="Times New Roman"/>
          <w:bCs/>
          <w:color w:val="000000"/>
        </w:rPr>
        <w:t>,</w:t>
      </w:r>
      <w:r w:rsidR="003F6A6F" w:rsidRPr="003F6A6F">
        <w:rPr>
          <w:rFonts w:ascii="Bookman Old Style" w:eastAsia="Times New Roman" w:hAnsi="Bookman Old Style" w:cs="Times New Roman"/>
          <w:bCs/>
          <w:color w:val="000000"/>
        </w:rPr>
        <w:t xml:space="preserve"> </w:t>
      </w:r>
      <w:r w:rsidR="003F6A6F">
        <w:rPr>
          <w:rFonts w:ascii="Bookman Old Style" w:eastAsia="Times New Roman" w:hAnsi="Bookman Old Style" w:cs="Times New Roman"/>
          <w:bCs/>
          <w:color w:val="000000"/>
        </w:rPr>
        <w:t>sono sospesi dal 9 sett</w:t>
      </w:r>
      <w:r w:rsidR="00085870">
        <w:rPr>
          <w:rFonts w:ascii="Bookman Old Style" w:eastAsia="Times New Roman" w:hAnsi="Bookman Old Style" w:cs="Times New Roman"/>
          <w:bCs/>
          <w:color w:val="000000"/>
        </w:rPr>
        <w:t>embre 2017 al 30 settembre 2018 (</w:t>
      </w:r>
      <w:r w:rsidR="00085870" w:rsidRPr="00B816CC">
        <w:rPr>
          <w:rFonts w:ascii="Bookman Old Style" w:eastAsia="Times New Roman" w:hAnsi="Bookman Old Style" w:cs="Times New Roman"/>
          <w:b/>
          <w:bCs/>
          <w:color w:val="000000"/>
        </w:rPr>
        <w:t>commi 1 e 2</w:t>
      </w:r>
      <w:r w:rsidR="00085870">
        <w:rPr>
          <w:rFonts w:ascii="Bookman Old Style" w:eastAsia="Times New Roman" w:hAnsi="Bookman Old Style" w:cs="Times New Roman"/>
          <w:bCs/>
          <w:color w:val="000000"/>
        </w:rPr>
        <w:t>).</w:t>
      </w:r>
    </w:p>
    <w:p w:rsidR="0005173F" w:rsidRPr="00377212" w:rsidRDefault="0084561E" w:rsidP="00377212">
      <w:pPr>
        <w:shd w:val="clear" w:color="auto" w:fill="FFFFFF"/>
        <w:spacing w:after="120" w:line="240" w:lineRule="auto"/>
        <w:jc w:val="both"/>
        <w:rPr>
          <w:rFonts w:ascii="Bookman Old Style" w:eastAsia="Times New Roman" w:hAnsi="Bookman Old Style" w:cs="Times New Roman"/>
          <w:bCs/>
          <w:color w:val="000000"/>
        </w:rPr>
      </w:pPr>
      <w:r>
        <w:rPr>
          <w:rFonts w:ascii="Bookman Old Style" w:eastAsia="Times New Roman" w:hAnsi="Bookman Old Style" w:cs="Times New Roman"/>
          <w:bCs/>
          <w:color w:val="000000"/>
        </w:rPr>
        <w:lastRenderedPageBreak/>
        <w:t>Tale sospensione è subordinata</w:t>
      </w:r>
      <w:r w:rsidR="00947E99">
        <w:rPr>
          <w:rFonts w:ascii="Bookman Old Style" w:eastAsia="Times New Roman" w:hAnsi="Bookman Old Style" w:cs="Times New Roman"/>
          <w:bCs/>
          <w:color w:val="000000"/>
        </w:rPr>
        <w:t xml:space="preserve"> </w:t>
      </w:r>
      <w:r>
        <w:rPr>
          <w:rFonts w:ascii="Bookman Old Style" w:eastAsia="Times New Roman" w:hAnsi="Bookman Old Style" w:cs="Times New Roman"/>
          <w:bCs/>
          <w:color w:val="000000"/>
        </w:rPr>
        <w:t>alla richiesta del contribuente</w:t>
      </w:r>
      <w:r w:rsidR="00085870">
        <w:rPr>
          <w:rFonts w:ascii="Bookman Old Style" w:eastAsia="Times New Roman" w:hAnsi="Bookman Old Style" w:cs="Times New Roman"/>
          <w:bCs/>
          <w:color w:val="000000"/>
        </w:rPr>
        <w:t xml:space="preserve"> </w:t>
      </w:r>
      <w:r w:rsidR="00947E99">
        <w:rPr>
          <w:rFonts w:ascii="Bookman Old Style" w:eastAsia="Times New Roman" w:hAnsi="Bookman Old Style" w:cs="Times New Roman"/>
          <w:bCs/>
          <w:color w:val="000000"/>
        </w:rPr>
        <w:t xml:space="preserve">motivata dalla inagibilità dell’abitazione o della sede dell’attività </w:t>
      </w:r>
      <w:r w:rsidR="00085870">
        <w:rPr>
          <w:rFonts w:ascii="Bookman Old Style" w:eastAsia="Times New Roman" w:hAnsi="Bookman Old Style" w:cs="Times New Roman"/>
          <w:bCs/>
          <w:color w:val="000000"/>
        </w:rPr>
        <w:t>(comma 3- bis)</w:t>
      </w:r>
      <w:r>
        <w:rPr>
          <w:rFonts w:ascii="Bookman Old Style" w:eastAsia="Times New Roman" w:hAnsi="Bookman Old Style" w:cs="Times New Roman"/>
          <w:bCs/>
          <w:color w:val="000000"/>
        </w:rPr>
        <w:t>.</w:t>
      </w:r>
      <w:r w:rsidR="00947E99">
        <w:rPr>
          <w:rFonts w:ascii="Bookman Old Style" w:eastAsia="Times New Roman" w:hAnsi="Bookman Old Style" w:cs="Times New Roman"/>
          <w:bCs/>
          <w:color w:val="000000"/>
        </w:rPr>
        <w:t xml:space="preserve"> </w:t>
      </w:r>
      <w:r w:rsidR="0005173F" w:rsidRPr="00377212">
        <w:rPr>
          <w:rFonts w:ascii="Bookman Old Style" w:eastAsia="Times New Roman" w:hAnsi="Bookman Old Style" w:cs="Times New Roman"/>
          <w:bCs/>
          <w:color w:val="000000"/>
        </w:rPr>
        <w:t xml:space="preserve">Gli adempimenti e i versamenti oggetto di sospensione per effetto delle dichiarazioni di inagibilità </w:t>
      </w:r>
      <w:r w:rsidR="00947E99">
        <w:rPr>
          <w:rFonts w:ascii="Bookman Old Style" w:eastAsia="Times New Roman" w:hAnsi="Bookman Old Style" w:cs="Times New Roman"/>
          <w:bCs/>
          <w:color w:val="000000"/>
        </w:rPr>
        <w:t xml:space="preserve">devono </w:t>
      </w:r>
      <w:r w:rsidR="0005173F" w:rsidRPr="00377212">
        <w:rPr>
          <w:rFonts w:ascii="Bookman Old Style" w:eastAsia="Times New Roman" w:hAnsi="Bookman Old Style" w:cs="Times New Roman"/>
          <w:bCs/>
          <w:color w:val="000000"/>
        </w:rPr>
        <w:t>essere effettuati in unica soluzione entro il 16 ottobre 2018</w:t>
      </w:r>
      <w:r w:rsidR="00085870">
        <w:rPr>
          <w:rFonts w:ascii="Bookman Old Style" w:eastAsia="Times New Roman" w:hAnsi="Bookman Old Style" w:cs="Times New Roman"/>
          <w:bCs/>
          <w:color w:val="000000"/>
        </w:rPr>
        <w:t xml:space="preserve"> (comma 4)</w:t>
      </w:r>
      <w:r w:rsidR="0005173F" w:rsidRPr="00377212">
        <w:rPr>
          <w:rFonts w:ascii="Bookman Old Style" w:eastAsia="Times New Roman" w:hAnsi="Bookman Old Style" w:cs="Times New Roman"/>
          <w:bCs/>
          <w:color w:val="000000"/>
        </w:rPr>
        <w:t>.</w:t>
      </w:r>
    </w:p>
    <w:p w:rsidR="0005173F" w:rsidRDefault="0005173F" w:rsidP="00377212">
      <w:pPr>
        <w:shd w:val="clear" w:color="auto" w:fill="FFFFFF"/>
        <w:spacing w:after="120" w:line="240" w:lineRule="auto"/>
        <w:jc w:val="both"/>
        <w:rPr>
          <w:rFonts w:ascii="Bookman Old Style" w:eastAsia="Times New Roman" w:hAnsi="Bookman Old Style" w:cs="Times New Roman"/>
          <w:bCs/>
          <w:color w:val="000000"/>
        </w:rPr>
      </w:pPr>
      <w:r w:rsidRPr="00377212">
        <w:rPr>
          <w:rFonts w:ascii="Bookman Old Style" w:eastAsia="Times New Roman" w:hAnsi="Bookman Old Style" w:cs="Times New Roman"/>
          <w:bCs/>
          <w:color w:val="000000"/>
        </w:rPr>
        <w:t>I soggetti che non dichiarano l’inagibilità invece, usufruiscono della sospensione dal 9 settembre 2017 fino alla data di entrata in vigore d</w:t>
      </w:r>
      <w:r w:rsidR="00A87077" w:rsidRPr="00A87077">
        <w:rPr>
          <w:rFonts w:ascii="Bookman Old Style" w:eastAsia="Times New Roman" w:hAnsi="Bookman Old Style" w:cs="Times New Roman"/>
          <w:bCs/>
          <w:color w:val="000000"/>
        </w:rPr>
        <w:t xml:space="preserve">ella legge di conversione del </w:t>
      </w:r>
      <w:r w:rsidR="00A87077">
        <w:rPr>
          <w:rFonts w:ascii="Bookman Old Style" w:eastAsia="Times New Roman" w:hAnsi="Bookman Old Style" w:cs="Times New Roman"/>
          <w:bCs/>
          <w:color w:val="000000"/>
        </w:rPr>
        <w:t>dl</w:t>
      </w:r>
      <w:r w:rsidRPr="00377212">
        <w:rPr>
          <w:rFonts w:ascii="Bookman Old Style" w:eastAsia="Times New Roman" w:hAnsi="Bookman Old Style" w:cs="Times New Roman"/>
          <w:bCs/>
          <w:color w:val="000000"/>
        </w:rPr>
        <w:t xml:space="preserve"> 148</w:t>
      </w:r>
      <w:r w:rsidR="00DB6F52">
        <w:rPr>
          <w:rFonts w:ascii="Bookman Old Style" w:eastAsia="Times New Roman" w:hAnsi="Bookman Old Style" w:cs="Times New Roman"/>
          <w:bCs/>
          <w:color w:val="000000"/>
        </w:rPr>
        <w:t xml:space="preserve"> (5 dicembre 2017)</w:t>
      </w:r>
      <w:r w:rsidRPr="00377212">
        <w:rPr>
          <w:rFonts w:ascii="Bookman Old Style" w:eastAsia="Times New Roman" w:hAnsi="Bookman Old Style" w:cs="Times New Roman"/>
          <w:bCs/>
          <w:color w:val="000000"/>
        </w:rPr>
        <w:t xml:space="preserve"> ed effettuano gli adempimenti e i versamenti tributari oggetto di sospensione entro il 19 dicembre 2017</w:t>
      </w:r>
      <w:r w:rsidR="00085870">
        <w:rPr>
          <w:rFonts w:ascii="Bookman Old Style" w:eastAsia="Times New Roman" w:hAnsi="Bookman Old Style" w:cs="Times New Roman"/>
          <w:bCs/>
          <w:color w:val="000000"/>
        </w:rPr>
        <w:t xml:space="preserve"> (comma 4)</w:t>
      </w:r>
      <w:r w:rsidR="00DB6F52">
        <w:rPr>
          <w:rFonts w:ascii="Bookman Old Style" w:eastAsia="Times New Roman" w:hAnsi="Bookman Old Style" w:cs="Times New Roman"/>
          <w:bCs/>
          <w:color w:val="000000"/>
        </w:rPr>
        <w:t>.</w:t>
      </w:r>
    </w:p>
    <w:p w:rsidR="00AA217A" w:rsidRDefault="00AA217A" w:rsidP="00377212">
      <w:pPr>
        <w:shd w:val="clear" w:color="auto" w:fill="FFFFFF"/>
        <w:spacing w:after="120" w:line="240" w:lineRule="auto"/>
        <w:jc w:val="both"/>
        <w:rPr>
          <w:rFonts w:ascii="Bookman Old Style" w:eastAsia="Times New Roman" w:hAnsi="Bookman Old Style" w:cs="Times New Roman"/>
          <w:bCs/>
          <w:color w:val="000000"/>
        </w:rPr>
      </w:pPr>
      <w:r>
        <w:rPr>
          <w:rFonts w:ascii="Bookman Old Style" w:eastAsia="Times New Roman" w:hAnsi="Bookman Old Style" w:cs="Times New Roman"/>
          <w:bCs/>
          <w:color w:val="000000"/>
        </w:rPr>
        <w:t>Lo stesso articolo determina le provvidenze per i Comuni dell’isola di Ischia colpiti dagli eventi sismici del 21 agosto scorso (</w:t>
      </w:r>
      <w:proofErr w:type="spellStart"/>
      <w:r w:rsidRPr="00FA1C32">
        <w:rPr>
          <w:rFonts w:ascii="Bookman Old Style" w:eastAsia="Times New Roman" w:hAnsi="Bookman Old Style" w:cs="Times New Roman"/>
          <w:bCs/>
          <w:color w:val="000000"/>
        </w:rPr>
        <w:t>Casamicciola</w:t>
      </w:r>
      <w:proofErr w:type="spellEnd"/>
      <w:r w:rsidRPr="00FA1C32">
        <w:rPr>
          <w:rFonts w:ascii="Bookman Old Style" w:eastAsia="Times New Roman" w:hAnsi="Bookman Old Style" w:cs="Times New Roman"/>
          <w:bCs/>
          <w:color w:val="000000"/>
        </w:rPr>
        <w:t xml:space="preserve"> Terme, Lacco Ameno e </w:t>
      </w:r>
      <w:proofErr w:type="spellStart"/>
      <w:r w:rsidRPr="00FA1C32">
        <w:rPr>
          <w:rFonts w:ascii="Bookman Old Style" w:eastAsia="Times New Roman" w:hAnsi="Bookman Old Style" w:cs="Times New Roman"/>
          <w:bCs/>
          <w:color w:val="000000"/>
        </w:rPr>
        <w:t>Forio</w:t>
      </w:r>
      <w:proofErr w:type="spellEnd"/>
      <w:r>
        <w:rPr>
          <w:rFonts w:ascii="Bookman Old Style" w:eastAsia="Times New Roman" w:hAnsi="Bookman Old Style" w:cs="Times New Roman"/>
          <w:bCs/>
          <w:color w:val="000000"/>
        </w:rPr>
        <w:t>). In particolare, oltre alla sospensione degli adempimenti e dei versamenti tributari prorogata al 30 settembre 2018 (</w:t>
      </w:r>
      <w:proofErr w:type="spellStart"/>
      <w:r>
        <w:rPr>
          <w:rFonts w:ascii="Bookman Old Style" w:eastAsia="Times New Roman" w:hAnsi="Bookman Old Style" w:cs="Times New Roman"/>
          <w:bCs/>
          <w:color w:val="000000"/>
        </w:rPr>
        <w:t>co</w:t>
      </w:r>
      <w:proofErr w:type="spellEnd"/>
      <w:r>
        <w:rPr>
          <w:rFonts w:ascii="Bookman Old Style" w:eastAsia="Times New Roman" w:hAnsi="Bookman Old Style" w:cs="Times New Roman"/>
          <w:bCs/>
          <w:color w:val="000000"/>
        </w:rPr>
        <w:t>. 5-</w:t>
      </w:r>
      <w:r w:rsidRPr="00377212">
        <w:rPr>
          <w:rFonts w:ascii="Bookman Old Style" w:eastAsia="Times New Roman" w:hAnsi="Bookman Old Style" w:cs="Times New Roman"/>
          <w:bCs/>
          <w:i/>
          <w:color w:val="000000"/>
        </w:rPr>
        <w:t>bis</w:t>
      </w:r>
      <w:r>
        <w:rPr>
          <w:rFonts w:ascii="Bookman Old Style" w:eastAsia="Times New Roman" w:hAnsi="Bookman Old Style" w:cs="Times New Roman"/>
          <w:bCs/>
          <w:color w:val="000000"/>
        </w:rPr>
        <w:t>), si prevede l’esenzione dell’</w:t>
      </w:r>
      <w:proofErr w:type="spellStart"/>
      <w:r>
        <w:rPr>
          <w:rFonts w:ascii="Bookman Old Style" w:eastAsia="Times New Roman" w:hAnsi="Bookman Old Style" w:cs="Times New Roman"/>
          <w:bCs/>
          <w:color w:val="000000"/>
        </w:rPr>
        <w:t>Imu</w:t>
      </w:r>
      <w:proofErr w:type="spellEnd"/>
      <w:r>
        <w:rPr>
          <w:rFonts w:ascii="Bookman Old Style" w:eastAsia="Times New Roman" w:hAnsi="Bookman Old Style" w:cs="Times New Roman"/>
          <w:bCs/>
          <w:color w:val="000000"/>
        </w:rPr>
        <w:t xml:space="preserve"> e della </w:t>
      </w:r>
      <w:proofErr w:type="spellStart"/>
      <w:r>
        <w:rPr>
          <w:rFonts w:ascii="Bookman Old Style" w:eastAsia="Times New Roman" w:hAnsi="Bookman Old Style" w:cs="Times New Roman"/>
          <w:bCs/>
          <w:color w:val="000000"/>
        </w:rPr>
        <w:t>Tasi</w:t>
      </w:r>
      <w:proofErr w:type="spellEnd"/>
      <w:r>
        <w:rPr>
          <w:rFonts w:ascii="Bookman Old Style" w:eastAsia="Times New Roman" w:hAnsi="Bookman Old Style" w:cs="Times New Roman"/>
          <w:bCs/>
          <w:color w:val="000000"/>
        </w:rPr>
        <w:t xml:space="preserve"> per gli immobili inagibili totalmente o parzialmente ed oggetto di ordinanze sindacali di sgombero comunque adottate entro il 31 dicembre 2017. L’esenzione opera dalla rata del 15 dicembre 2017 fino alla definitiva ricostruzione o agibilità e comunque fino all’anno d’imposta 2018. I criteri per il rimborso ai Comuni saranno stabiliti da apposito decreto del Ministro dell’interno e dell’economia (</w:t>
      </w:r>
      <w:proofErr w:type="spellStart"/>
      <w:r>
        <w:rPr>
          <w:rFonts w:ascii="Bookman Old Style" w:eastAsia="Times New Roman" w:hAnsi="Bookman Old Style" w:cs="Times New Roman"/>
          <w:bCs/>
          <w:color w:val="000000"/>
        </w:rPr>
        <w:t>co</w:t>
      </w:r>
      <w:proofErr w:type="spellEnd"/>
      <w:r>
        <w:rPr>
          <w:rFonts w:ascii="Bookman Old Style" w:eastAsia="Times New Roman" w:hAnsi="Bookman Old Style" w:cs="Times New Roman"/>
          <w:bCs/>
          <w:color w:val="000000"/>
        </w:rPr>
        <w:t xml:space="preserve">. 5-ter). </w:t>
      </w:r>
    </w:p>
    <w:p w:rsidR="00AA217A" w:rsidRPr="00AF17F3" w:rsidRDefault="00AA217A" w:rsidP="00377212">
      <w:pPr>
        <w:shd w:val="clear" w:color="auto" w:fill="FFFFFF"/>
        <w:spacing w:after="120" w:line="240" w:lineRule="auto"/>
        <w:jc w:val="both"/>
        <w:rPr>
          <w:rFonts w:ascii="Bookman Old Style" w:eastAsia="Times New Roman" w:hAnsi="Bookman Old Style" w:cs="Times New Roman"/>
          <w:color w:val="000000"/>
        </w:rPr>
      </w:pPr>
      <w:r>
        <w:rPr>
          <w:rFonts w:ascii="Bookman Old Style" w:eastAsia="Times New Roman" w:hAnsi="Bookman Old Style" w:cs="Times New Roman"/>
          <w:bCs/>
          <w:color w:val="000000"/>
        </w:rPr>
        <w:t>Il comma 6 ed il comma 6-</w:t>
      </w:r>
      <w:r w:rsidRPr="00377212">
        <w:rPr>
          <w:rFonts w:ascii="Bookman Old Style" w:eastAsia="Times New Roman" w:hAnsi="Bookman Old Style" w:cs="Times New Roman"/>
          <w:bCs/>
          <w:color w:val="000000"/>
        </w:rPr>
        <w:t>bis</w:t>
      </w:r>
      <w:r>
        <w:rPr>
          <w:rFonts w:ascii="Bookman Old Style" w:eastAsia="Times New Roman" w:hAnsi="Bookman Old Style" w:cs="Times New Roman"/>
          <w:bCs/>
          <w:color w:val="000000"/>
        </w:rPr>
        <w:t>, stabiliscono le coperture finanziarie. In particolare, il comma 6</w:t>
      </w:r>
      <w:r w:rsidR="000D4D9B">
        <w:rPr>
          <w:rFonts w:ascii="Bookman Old Style" w:eastAsia="Times New Roman" w:hAnsi="Bookman Old Style" w:cs="Times New Roman"/>
          <w:bCs/>
          <w:color w:val="000000"/>
        </w:rPr>
        <w:t xml:space="preserve"> istituisce </w:t>
      </w:r>
      <w:r w:rsidR="000D4D9B" w:rsidRPr="00FA1C32">
        <w:rPr>
          <w:rFonts w:ascii="Bookman Old Style" w:eastAsia="Times New Roman" w:hAnsi="Bookman Old Style" w:cs="Times New Roman"/>
          <w:bCs/>
          <w:color w:val="000000"/>
        </w:rPr>
        <w:t xml:space="preserve">un fondo di 5,8 </w:t>
      </w:r>
      <w:proofErr w:type="spellStart"/>
      <w:r w:rsidR="000D4D9B" w:rsidRPr="00FA1C32">
        <w:rPr>
          <w:rFonts w:ascii="Bookman Old Style" w:eastAsia="Times New Roman" w:hAnsi="Bookman Old Style" w:cs="Times New Roman"/>
          <w:bCs/>
          <w:color w:val="000000"/>
        </w:rPr>
        <w:t>mln</w:t>
      </w:r>
      <w:proofErr w:type="spellEnd"/>
      <w:r w:rsidR="000D4D9B" w:rsidRPr="00FA1C32">
        <w:rPr>
          <w:rFonts w:ascii="Bookman Old Style" w:eastAsia="Times New Roman" w:hAnsi="Bookman Old Style" w:cs="Times New Roman"/>
          <w:bCs/>
          <w:color w:val="000000"/>
        </w:rPr>
        <w:t xml:space="preserve"> di euro </w:t>
      </w:r>
      <w:r w:rsidR="000D4D9B">
        <w:rPr>
          <w:rFonts w:ascii="Bookman Old Style" w:eastAsia="Times New Roman" w:hAnsi="Bookman Old Style" w:cs="Times New Roman"/>
          <w:bCs/>
          <w:color w:val="000000"/>
        </w:rPr>
        <w:t xml:space="preserve">per far fronte alle anticipazioni per sospensione dei pagamenti relative a tutti i Comuni colpiti dagli eventi considerati dall’articolo 2. Il riparto dovrà avvenire </w:t>
      </w:r>
      <w:r w:rsidR="000D4D9B" w:rsidRPr="00FA1C32">
        <w:rPr>
          <w:rFonts w:ascii="Bookman Old Style" w:eastAsia="Times New Roman" w:hAnsi="Bookman Old Style" w:cs="Times New Roman"/>
          <w:bCs/>
          <w:color w:val="000000"/>
        </w:rPr>
        <w:t xml:space="preserve">entro 40 </w:t>
      </w:r>
      <w:r w:rsidR="000D4D9B">
        <w:rPr>
          <w:rFonts w:ascii="Bookman Old Style" w:eastAsia="Times New Roman" w:hAnsi="Bookman Old Style" w:cs="Times New Roman"/>
          <w:bCs/>
          <w:color w:val="000000"/>
        </w:rPr>
        <w:t xml:space="preserve">giorni </w:t>
      </w:r>
      <w:r w:rsidR="000D4D9B" w:rsidRPr="00FA1C32">
        <w:rPr>
          <w:rFonts w:ascii="Bookman Old Style" w:eastAsia="Times New Roman" w:hAnsi="Bookman Old Style" w:cs="Times New Roman"/>
          <w:bCs/>
          <w:color w:val="000000"/>
        </w:rPr>
        <w:t>dalla conversione in legge del dl fiscale</w:t>
      </w:r>
      <w:r w:rsidR="000D4D9B">
        <w:rPr>
          <w:rFonts w:ascii="Bookman Old Style" w:eastAsia="Times New Roman" w:hAnsi="Bookman Old Style" w:cs="Times New Roman"/>
          <w:bCs/>
          <w:color w:val="000000"/>
        </w:rPr>
        <w:t xml:space="preserve"> e quindi entro la seconda metà di gennaio 2018. Le quote anticipate saranno poi trattenute dalla Struttura di gestione dell’Agenzia delle entrate, alla ripresa dei versamenti, dal 17 ottobre 2018. Il comma 6-</w:t>
      </w:r>
      <w:r w:rsidR="000D4D9B" w:rsidRPr="00377212">
        <w:rPr>
          <w:rFonts w:ascii="Bookman Old Style" w:eastAsia="Times New Roman" w:hAnsi="Bookman Old Style" w:cs="Times New Roman"/>
          <w:bCs/>
          <w:i/>
          <w:color w:val="000000"/>
        </w:rPr>
        <w:t>bis</w:t>
      </w:r>
      <w:r w:rsidR="000D4D9B">
        <w:rPr>
          <w:rFonts w:ascii="Bookman Old Style" w:eastAsia="Times New Roman" w:hAnsi="Bookman Old Style" w:cs="Times New Roman"/>
          <w:bCs/>
          <w:color w:val="000000"/>
        </w:rPr>
        <w:t xml:space="preserve"> stanzia </w:t>
      </w:r>
      <w:r>
        <w:rPr>
          <w:rFonts w:ascii="Bookman Old Style" w:eastAsia="Times New Roman" w:hAnsi="Bookman Old Style" w:cs="Times New Roman"/>
          <w:bCs/>
          <w:color w:val="000000"/>
        </w:rPr>
        <w:t xml:space="preserve">2,55 </w:t>
      </w:r>
      <w:proofErr w:type="spellStart"/>
      <w:r>
        <w:rPr>
          <w:rFonts w:ascii="Bookman Old Style" w:eastAsia="Times New Roman" w:hAnsi="Bookman Old Style" w:cs="Times New Roman"/>
          <w:bCs/>
          <w:color w:val="000000"/>
        </w:rPr>
        <w:t>mln</w:t>
      </w:r>
      <w:proofErr w:type="spellEnd"/>
      <w:r>
        <w:rPr>
          <w:rFonts w:ascii="Bookman Old Style" w:eastAsia="Times New Roman" w:hAnsi="Bookman Old Style" w:cs="Times New Roman"/>
          <w:bCs/>
          <w:color w:val="000000"/>
        </w:rPr>
        <w:t xml:space="preserve"> di euro per il 2017, 110.000 euro per il 2018 e 60.000 euro per il 2019 </w:t>
      </w:r>
      <w:r w:rsidR="000D4D9B">
        <w:rPr>
          <w:rFonts w:ascii="Bookman Old Style" w:eastAsia="Times New Roman" w:hAnsi="Bookman Old Style" w:cs="Times New Roman"/>
          <w:bCs/>
          <w:color w:val="000000"/>
        </w:rPr>
        <w:t>per il mancato gettito da esenzione per inagibilità dovuta al sisma riguardante i Comuni dell’isola di Ischia</w:t>
      </w:r>
      <w:r>
        <w:rPr>
          <w:rFonts w:ascii="Bookman Old Style" w:eastAsia="Times New Roman" w:hAnsi="Bookman Old Style" w:cs="Times New Roman"/>
          <w:bCs/>
          <w:color w:val="000000"/>
        </w:rPr>
        <w:t>.</w:t>
      </w:r>
      <w:r w:rsidR="000D4D9B">
        <w:rPr>
          <w:rFonts w:ascii="Bookman Old Style" w:eastAsia="Times New Roman" w:hAnsi="Bookman Old Style" w:cs="Times New Roman"/>
          <w:bCs/>
          <w:color w:val="000000"/>
        </w:rPr>
        <w:t xml:space="preserve"> Infine, i commi da 6-</w:t>
      </w:r>
      <w:r w:rsidR="000D4D9B">
        <w:rPr>
          <w:rFonts w:ascii="Bookman Old Style" w:eastAsia="Times New Roman" w:hAnsi="Bookman Old Style" w:cs="Times New Roman"/>
          <w:bCs/>
          <w:i/>
          <w:color w:val="000000"/>
        </w:rPr>
        <w:t>ter</w:t>
      </w:r>
      <w:r w:rsidR="00AF17F3">
        <w:rPr>
          <w:rFonts w:ascii="Bookman Old Style" w:eastAsia="Times New Roman" w:hAnsi="Bookman Old Style" w:cs="Times New Roman"/>
          <w:bCs/>
          <w:i/>
          <w:color w:val="000000"/>
        </w:rPr>
        <w:t xml:space="preserve"> </w:t>
      </w:r>
      <w:r w:rsidR="00AF17F3">
        <w:rPr>
          <w:rFonts w:ascii="Bookman Old Style" w:eastAsia="Times New Roman" w:hAnsi="Bookman Old Style" w:cs="Times New Roman"/>
          <w:bCs/>
          <w:color w:val="000000"/>
        </w:rPr>
        <w:t>a 6-</w:t>
      </w:r>
      <w:r w:rsidR="00AF17F3">
        <w:rPr>
          <w:rFonts w:ascii="Bookman Old Style" w:eastAsia="Times New Roman" w:hAnsi="Bookman Old Style" w:cs="Times New Roman"/>
          <w:bCs/>
          <w:i/>
          <w:color w:val="000000"/>
        </w:rPr>
        <w:t>undecies</w:t>
      </w:r>
      <w:r w:rsidR="00AF17F3">
        <w:rPr>
          <w:rFonts w:ascii="Bookman Old Style" w:eastAsia="Times New Roman" w:hAnsi="Bookman Old Style" w:cs="Times New Roman"/>
          <w:bCs/>
          <w:color w:val="000000"/>
        </w:rPr>
        <w:t xml:space="preserve"> prevedono stanziamenti per fondi finalizzati alla ricostruzione dei territori di </w:t>
      </w:r>
      <w:proofErr w:type="spellStart"/>
      <w:r w:rsidR="00AF17F3" w:rsidRPr="00FA1C32">
        <w:rPr>
          <w:rFonts w:ascii="Bookman Old Style" w:eastAsia="Times New Roman" w:hAnsi="Bookman Old Style" w:cs="Times New Roman"/>
          <w:bCs/>
          <w:color w:val="000000"/>
        </w:rPr>
        <w:t>Casamicciola</w:t>
      </w:r>
      <w:proofErr w:type="spellEnd"/>
      <w:r w:rsidR="00AF17F3" w:rsidRPr="00FA1C32">
        <w:rPr>
          <w:rFonts w:ascii="Bookman Old Style" w:eastAsia="Times New Roman" w:hAnsi="Bookman Old Style" w:cs="Times New Roman"/>
          <w:bCs/>
          <w:color w:val="000000"/>
        </w:rPr>
        <w:t xml:space="preserve"> Terme, Lacco Ameno e </w:t>
      </w:r>
      <w:proofErr w:type="spellStart"/>
      <w:r w:rsidR="00AF17F3" w:rsidRPr="00FA1C32">
        <w:rPr>
          <w:rFonts w:ascii="Bookman Old Style" w:eastAsia="Times New Roman" w:hAnsi="Bookman Old Style" w:cs="Times New Roman"/>
          <w:bCs/>
          <w:color w:val="000000"/>
        </w:rPr>
        <w:t>Forio</w:t>
      </w:r>
      <w:proofErr w:type="spellEnd"/>
      <w:r w:rsidR="00AF17F3">
        <w:rPr>
          <w:rFonts w:ascii="Bookman Old Style" w:eastAsia="Times New Roman" w:hAnsi="Bookman Old Style" w:cs="Times New Roman"/>
          <w:bCs/>
          <w:color w:val="000000"/>
        </w:rPr>
        <w:t>, nonché all’erogazione di contributi per la ripresa economica e produttiva.</w:t>
      </w:r>
    </w:p>
    <w:p w:rsidR="00AF17F3" w:rsidRDefault="00AF17F3" w:rsidP="00356995">
      <w:pPr>
        <w:shd w:val="clear" w:color="auto" w:fill="FFFFFF"/>
        <w:jc w:val="center"/>
        <w:rPr>
          <w:rFonts w:ascii="Bookman Old Style" w:hAnsi="Bookman Old Style"/>
          <w:b/>
          <w:bCs/>
          <w:color w:val="000000"/>
        </w:rPr>
      </w:pPr>
    </w:p>
    <w:p w:rsidR="00356995" w:rsidRDefault="00356995" w:rsidP="00356995">
      <w:pPr>
        <w:shd w:val="clear" w:color="auto" w:fill="FFFFFF"/>
        <w:jc w:val="center"/>
        <w:rPr>
          <w:rFonts w:ascii="Bookman Old Style" w:hAnsi="Bookman Old Style"/>
          <w:b/>
          <w:bCs/>
          <w:i/>
          <w:iCs/>
          <w:color w:val="000000"/>
        </w:rPr>
      </w:pPr>
      <w:r>
        <w:rPr>
          <w:rFonts w:ascii="Bookman Old Style" w:hAnsi="Bookman Old Style"/>
          <w:b/>
          <w:bCs/>
          <w:color w:val="000000"/>
        </w:rPr>
        <w:t>Articolo 2-</w:t>
      </w:r>
      <w:r>
        <w:rPr>
          <w:rFonts w:ascii="Bookman Old Style" w:hAnsi="Bookman Old Style"/>
          <w:b/>
          <w:bCs/>
          <w:i/>
          <w:iCs/>
          <w:color w:val="000000"/>
        </w:rPr>
        <w:t>bis</w:t>
      </w:r>
    </w:p>
    <w:p w:rsidR="00356995" w:rsidRDefault="00356995" w:rsidP="00356995">
      <w:pPr>
        <w:shd w:val="clear" w:color="auto" w:fill="FFFFFF"/>
        <w:jc w:val="center"/>
        <w:rPr>
          <w:rFonts w:ascii="Bookman Old Style" w:hAnsi="Bookman Old Style"/>
          <w:b/>
          <w:bCs/>
          <w:i/>
          <w:iCs/>
          <w:color w:val="000000"/>
        </w:rPr>
      </w:pPr>
      <w:r>
        <w:rPr>
          <w:rFonts w:ascii="Bookman Old Style" w:hAnsi="Bookman Old Style"/>
          <w:b/>
          <w:bCs/>
          <w:i/>
          <w:iCs/>
          <w:color w:val="000000"/>
        </w:rPr>
        <w:t>(Modifiche al decreto-legge n. 189 del 2016 ed ulteriori misure a favore delle popolazioni dei territori delle regioni Abruzzo, Lazio, Marche ed Umbria interessati dagli eventi sismici verificatisi a far data dal 24 agosto 2016)</w:t>
      </w:r>
    </w:p>
    <w:p w:rsidR="00356995" w:rsidRDefault="00356995" w:rsidP="00377212">
      <w:pPr>
        <w:shd w:val="clear" w:color="auto" w:fill="FFFFFF"/>
        <w:spacing w:after="120" w:line="240" w:lineRule="auto"/>
        <w:ind w:left="23"/>
        <w:jc w:val="both"/>
        <w:rPr>
          <w:rFonts w:ascii="Bookman Old Style" w:hAnsi="Bookman Old Style"/>
          <w:color w:val="000000"/>
        </w:rPr>
      </w:pPr>
      <w:r>
        <w:rPr>
          <w:rFonts w:ascii="Bookman Old Style" w:hAnsi="Bookman Old Style"/>
          <w:color w:val="000000"/>
        </w:rPr>
        <w:t>L'articolo in esame, risultante dalla approvazione in commissione bilancio dell'</w:t>
      </w:r>
      <w:r>
        <w:rPr>
          <w:rFonts w:ascii="Bookman Old Style" w:hAnsi="Bookman Old Style"/>
          <w:b/>
          <w:bCs/>
          <w:color w:val="000000"/>
        </w:rPr>
        <w:t>emendamento del Governo 2.0.1000</w:t>
      </w:r>
      <w:r>
        <w:rPr>
          <w:rFonts w:ascii="Bookman Old Style" w:hAnsi="Bookman Old Style"/>
          <w:color w:val="000000"/>
        </w:rPr>
        <w:t xml:space="preserve">, e relativi </w:t>
      </w:r>
      <w:r>
        <w:rPr>
          <w:rFonts w:ascii="Bookman Old Style" w:hAnsi="Bookman Old Style"/>
          <w:b/>
          <w:bCs/>
          <w:color w:val="000000"/>
        </w:rPr>
        <w:t>subemendamenti</w:t>
      </w:r>
      <w:r>
        <w:rPr>
          <w:rFonts w:ascii="Bookman Old Style" w:hAnsi="Bookman Old Style"/>
          <w:color w:val="000000"/>
        </w:rPr>
        <w:t xml:space="preserve">, interviene in materia di terremoti, modificando </w:t>
      </w:r>
      <w:r w:rsidR="00AF17F3">
        <w:rPr>
          <w:rFonts w:ascii="Bookman Old Style" w:hAnsi="Bookman Old Style"/>
          <w:color w:val="000000"/>
        </w:rPr>
        <w:t xml:space="preserve">i decreti legge </w:t>
      </w:r>
      <w:r>
        <w:rPr>
          <w:rFonts w:ascii="Bookman Old Style" w:hAnsi="Bookman Old Style"/>
          <w:color w:val="000000"/>
        </w:rPr>
        <w:t>n. 189 del 2016</w:t>
      </w:r>
      <w:r w:rsidR="00AF17F3">
        <w:rPr>
          <w:rFonts w:ascii="Bookman Old Style" w:hAnsi="Bookman Old Style"/>
          <w:color w:val="000000"/>
        </w:rPr>
        <w:t xml:space="preserve"> e</w:t>
      </w:r>
      <w:r>
        <w:rPr>
          <w:rFonts w:ascii="Bookman Old Style" w:hAnsi="Bookman Old Style"/>
          <w:color w:val="000000"/>
        </w:rPr>
        <w:t xml:space="preserve"> n. 8 del 2017</w:t>
      </w:r>
      <w:r w:rsidR="00AF17F3" w:rsidRPr="00AF17F3">
        <w:rPr>
          <w:rFonts w:ascii="Bookman Old Style" w:hAnsi="Bookman Old Style"/>
          <w:color w:val="000000"/>
        </w:rPr>
        <w:t xml:space="preserve"> </w:t>
      </w:r>
      <w:r w:rsidR="00AF17F3">
        <w:rPr>
          <w:rFonts w:ascii="Bookman Old Style" w:hAnsi="Bookman Old Style"/>
          <w:color w:val="000000"/>
        </w:rPr>
        <w:t xml:space="preserve">relativi ai sismi del </w:t>
      </w:r>
      <w:r w:rsidR="00AF17F3">
        <w:rPr>
          <w:rFonts w:ascii="Bookman Old Style" w:hAnsi="Bookman Old Style"/>
          <w:b/>
          <w:bCs/>
          <w:color w:val="000000"/>
        </w:rPr>
        <w:t>Centro Italia</w:t>
      </w:r>
      <w:r>
        <w:rPr>
          <w:rFonts w:ascii="Bookman Old Style" w:hAnsi="Bookman Old Style"/>
          <w:color w:val="000000"/>
        </w:rPr>
        <w:t xml:space="preserve">. Si recano norme altresì in materia di ricostruzione post sisma anche con riferimento agli </w:t>
      </w:r>
      <w:r>
        <w:rPr>
          <w:rFonts w:ascii="Bookman Old Style" w:hAnsi="Bookman Old Style"/>
          <w:b/>
          <w:bCs/>
          <w:color w:val="000000"/>
        </w:rPr>
        <w:t>eventi sismici del 2009</w:t>
      </w:r>
      <w:r>
        <w:rPr>
          <w:rFonts w:ascii="Bookman Old Style" w:hAnsi="Bookman Old Style"/>
          <w:color w:val="000000"/>
        </w:rPr>
        <w:t xml:space="preserve"> e del </w:t>
      </w:r>
      <w:r>
        <w:rPr>
          <w:rFonts w:ascii="Bookman Old Style" w:hAnsi="Bookman Old Style"/>
          <w:b/>
          <w:bCs/>
          <w:color w:val="000000"/>
        </w:rPr>
        <w:t>2012</w:t>
      </w:r>
      <w:r>
        <w:rPr>
          <w:rFonts w:ascii="Bookman Old Style" w:hAnsi="Bookman Old Style"/>
          <w:color w:val="000000"/>
        </w:rPr>
        <w:t>.</w:t>
      </w:r>
    </w:p>
    <w:p w:rsidR="00356995" w:rsidRDefault="00356995" w:rsidP="00377212">
      <w:pPr>
        <w:shd w:val="clear" w:color="auto" w:fill="FFFFFF"/>
        <w:spacing w:after="120" w:line="240" w:lineRule="auto"/>
        <w:ind w:left="23"/>
        <w:jc w:val="both"/>
        <w:rPr>
          <w:rFonts w:ascii="Bookman Old Style" w:hAnsi="Bookman Old Style"/>
          <w:color w:val="000000"/>
        </w:rPr>
      </w:pPr>
      <w:r>
        <w:rPr>
          <w:rFonts w:ascii="Bookman Old Style" w:hAnsi="Bookman Old Style"/>
          <w:color w:val="000000"/>
        </w:rPr>
        <w:t>Tra le misure più significative:</w:t>
      </w:r>
    </w:p>
    <w:p w:rsidR="00356995" w:rsidRDefault="00356995" w:rsidP="00377212">
      <w:pPr>
        <w:pStyle w:val="Paragrafoelenco"/>
        <w:numPr>
          <w:ilvl w:val="0"/>
          <w:numId w:val="15"/>
        </w:numPr>
        <w:shd w:val="clear" w:color="auto" w:fill="FFFFFF"/>
        <w:spacing w:after="120" w:line="240" w:lineRule="auto"/>
        <w:ind w:left="426" w:hanging="426"/>
        <w:contextualSpacing w:val="0"/>
        <w:jc w:val="both"/>
        <w:rPr>
          <w:rFonts w:ascii="Bookman Old Style" w:hAnsi="Bookman Old Style"/>
          <w:color w:val="000000"/>
        </w:rPr>
      </w:pPr>
      <w:r>
        <w:rPr>
          <w:rFonts w:ascii="Bookman Old Style" w:hAnsi="Bookman Old Style"/>
          <w:color w:val="000000"/>
        </w:rPr>
        <w:t xml:space="preserve">Si introduce nel decreto-legge n. 189 un nuovo articolo 8-bis, in materia di interventi eseguiti per immediate esigenze abitative, relativo agli interventi di realizzazione di immobili in assenza di titolo abilitativo. In particolare, la disposizione consente la </w:t>
      </w:r>
      <w:r>
        <w:rPr>
          <w:rFonts w:ascii="Bookman Old Style" w:hAnsi="Bookman Old Style"/>
          <w:b/>
          <w:bCs/>
          <w:color w:val="000000"/>
        </w:rPr>
        <w:t>regolarizzazione temporanea degli immobili realizzati in assenza di titolo abilitativo</w:t>
      </w:r>
      <w:r>
        <w:rPr>
          <w:rFonts w:ascii="Bookman Old Style" w:hAnsi="Bookman Old Style"/>
          <w:color w:val="000000"/>
        </w:rPr>
        <w:t xml:space="preserve"> da coloro che, nella immediatezza degli eventi sismici, si siano trovati nell’urgente necessità di reperire una soluzione abitativa perché la loro abitazione è stata dichiarata inagibile e abbia realizzato in proprio edifici provvisori su aree in sua proprietà</w:t>
      </w:r>
    </w:p>
    <w:p w:rsidR="00356995" w:rsidRDefault="00356995" w:rsidP="00377212">
      <w:pPr>
        <w:pStyle w:val="Paragrafoelenco"/>
        <w:numPr>
          <w:ilvl w:val="0"/>
          <w:numId w:val="15"/>
        </w:numPr>
        <w:shd w:val="clear" w:color="auto" w:fill="FFFFFF"/>
        <w:spacing w:after="120" w:line="240" w:lineRule="auto"/>
        <w:ind w:left="426" w:hanging="426"/>
        <w:contextualSpacing w:val="0"/>
        <w:jc w:val="both"/>
        <w:rPr>
          <w:rFonts w:ascii="Bookman Old Style" w:hAnsi="Bookman Old Style"/>
          <w:color w:val="000000"/>
        </w:rPr>
      </w:pPr>
      <w:r>
        <w:rPr>
          <w:rFonts w:ascii="Bookman Old Style" w:hAnsi="Bookman Old Style"/>
          <w:color w:val="000000"/>
        </w:rPr>
        <w:lastRenderedPageBreak/>
        <w:t xml:space="preserve">Si stabilisce che mediante </w:t>
      </w:r>
      <w:r>
        <w:rPr>
          <w:rFonts w:ascii="Bookman Old Style" w:hAnsi="Bookman Old Style"/>
          <w:b/>
          <w:bCs/>
          <w:color w:val="000000"/>
        </w:rPr>
        <w:t>provvedimento commissariale</w:t>
      </w:r>
      <w:r>
        <w:rPr>
          <w:rFonts w:ascii="Bookman Old Style" w:hAnsi="Bookman Old Style"/>
          <w:color w:val="000000"/>
        </w:rPr>
        <w:t xml:space="preserve"> sia fissato il termine entro il quale i Comuni del cratere possono procedere all’individuazione degli aggregati edilizi da recuperare attraverso interventi unitari. </w:t>
      </w:r>
    </w:p>
    <w:p w:rsidR="00356995" w:rsidRDefault="00356995" w:rsidP="00377212">
      <w:pPr>
        <w:pStyle w:val="Paragrafoelenco"/>
        <w:numPr>
          <w:ilvl w:val="0"/>
          <w:numId w:val="15"/>
        </w:numPr>
        <w:shd w:val="clear" w:color="auto" w:fill="FFFFFF"/>
        <w:spacing w:after="120" w:line="240" w:lineRule="auto"/>
        <w:ind w:left="426" w:hanging="426"/>
        <w:contextualSpacing w:val="0"/>
        <w:jc w:val="both"/>
        <w:rPr>
          <w:rFonts w:ascii="Bookman Old Style" w:hAnsi="Bookman Old Style"/>
          <w:color w:val="000000"/>
        </w:rPr>
      </w:pPr>
      <w:r>
        <w:rPr>
          <w:rFonts w:ascii="Bookman Old Style" w:hAnsi="Bookman Old Style"/>
          <w:color w:val="000000"/>
        </w:rPr>
        <w:t>Si recano norme (comma 8) in materia di ricostruzione degli edifici siti nei Comuni della Regione Abruzzo, già interessati dal</w:t>
      </w:r>
      <w:r>
        <w:rPr>
          <w:rFonts w:ascii="Bookman Old Style" w:hAnsi="Bookman Old Style"/>
          <w:b/>
          <w:bCs/>
          <w:color w:val="000000"/>
        </w:rPr>
        <w:t xml:space="preserve"> sisma del 2009</w:t>
      </w:r>
      <w:r>
        <w:rPr>
          <w:rFonts w:ascii="Bookman Old Style" w:hAnsi="Bookman Old Style"/>
          <w:color w:val="000000"/>
        </w:rPr>
        <w:t xml:space="preserve"> e che abbiano subito danni ulteriori per effetto degli eventi sismici del 2016-2017. </w:t>
      </w:r>
    </w:p>
    <w:p w:rsidR="00356995" w:rsidRDefault="00356995" w:rsidP="00377212">
      <w:pPr>
        <w:pStyle w:val="Paragrafoelenco"/>
        <w:numPr>
          <w:ilvl w:val="0"/>
          <w:numId w:val="15"/>
        </w:numPr>
        <w:shd w:val="clear" w:color="auto" w:fill="FFFFFF"/>
        <w:spacing w:after="120" w:line="240" w:lineRule="auto"/>
        <w:ind w:left="426" w:hanging="426"/>
        <w:contextualSpacing w:val="0"/>
        <w:jc w:val="both"/>
        <w:rPr>
          <w:rFonts w:ascii="Bookman Old Style" w:hAnsi="Bookman Old Style"/>
          <w:color w:val="000000"/>
        </w:rPr>
      </w:pPr>
      <w:r>
        <w:rPr>
          <w:rFonts w:ascii="Bookman Old Style" w:hAnsi="Bookman Old Style"/>
          <w:color w:val="000000"/>
        </w:rPr>
        <w:t xml:space="preserve">Si interviene sul </w:t>
      </w:r>
      <w:r>
        <w:rPr>
          <w:rFonts w:ascii="Bookman Old Style" w:hAnsi="Bookman Old Style"/>
          <w:b/>
          <w:bCs/>
          <w:color w:val="000000"/>
        </w:rPr>
        <w:t>Controllo dell'ANAC sulle procedure del Commissario straordinario,</w:t>
      </w:r>
      <w:r>
        <w:rPr>
          <w:rFonts w:ascii="Bookman Old Style" w:hAnsi="Bookman Old Style"/>
          <w:color w:val="000000"/>
        </w:rPr>
        <w:t xml:space="preserve"> prevedendo </w:t>
      </w:r>
      <w:r>
        <w:rPr>
          <w:rFonts w:ascii="Bookman Old Style" w:hAnsi="Bookman Old Style"/>
          <w:b/>
          <w:bCs/>
          <w:color w:val="000000"/>
        </w:rPr>
        <w:t>accordi</w:t>
      </w:r>
      <w:r>
        <w:rPr>
          <w:rFonts w:ascii="Bookman Old Style" w:hAnsi="Bookman Old Style"/>
          <w:color w:val="000000"/>
        </w:rPr>
        <w:t xml:space="preserve"> tra l’Autorità Nazionale Anticorruzione, il Commissario straordinario, i Presidenti delle Regioni</w:t>
      </w:r>
      <w:r w:rsidR="00AF17F3">
        <w:rPr>
          <w:rFonts w:ascii="Bookman Old Style" w:hAnsi="Bookman Old Style"/>
          <w:color w:val="000000"/>
        </w:rPr>
        <w:t>-</w:t>
      </w:r>
      <w:r>
        <w:rPr>
          <w:rFonts w:ascii="Bookman Old Style" w:hAnsi="Bookman Old Style"/>
          <w:color w:val="000000"/>
        </w:rPr>
        <w:t>Vicecommissari, e le centrali uniche di committenza; in materia di monitoraggio, si contempla l'uso della banca dati di cui all'articolo 13 della legge di riforma della contabilità pubblica.</w:t>
      </w:r>
    </w:p>
    <w:p w:rsidR="00356995" w:rsidRDefault="00356995" w:rsidP="00377212">
      <w:pPr>
        <w:pStyle w:val="Paragrafoelenco"/>
        <w:numPr>
          <w:ilvl w:val="0"/>
          <w:numId w:val="15"/>
        </w:numPr>
        <w:shd w:val="clear" w:color="auto" w:fill="FFFFFF"/>
        <w:spacing w:after="120" w:line="240" w:lineRule="auto"/>
        <w:ind w:left="426" w:hanging="426"/>
        <w:contextualSpacing w:val="0"/>
        <w:jc w:val="both"/>
        <w:rPr>
          <w:rFonts w:ascii="Bookman Old Style" w:hAnsi="Bookman Old Style"/>
          <w:color w:val="000000"/>
        </w:rPr>
      </w:pPr>
      <w:r>
        <w:rPr>
          <w:rFonts w:ascii="Bookman Old Style" w:hAnsi="Bookman Old Style"/>
          <w:color w:val="000000"/>
        </w:rPr>
        <w:t xml:space="preserve">Si stabilisce con che </w:t>
      </w:r>
      <w:r>
        <w:rPr>
          <w:rFonts w:ascii="Bookman Old Style" w:hAnsi="Bookman Old Style"/>
          <w:b/>
          <w:bCs/>
          <w:color w:val="000000"/>
        </w:rPr>
        <w:t>tutti gli oneri relativi agli incarichi di progettazione delle opere pubbliche post-sisma sono a carico della contabilità speciale</w:t>
      </w:r>
      <w:r>
        <w:rPr>
          <w:rFonts w:ascii="Bookman Old Style" w:hAnsi="Bookman Old Style"/>
          <w:color w:val="000000"/>
        </w:rPr>
        <w:t>, quindi del Commissario (e non delle stazioni appaltanti);</w:t>
      </w:r>
    </w:p>
    <w:p w:rsidR="00356995" w:rsidRDefault="00356995" w:rsidP="00377212">
      <w:pPr>
        <w:pStyle w:val="Paragrafoelenco"/>
        <w:numPr>
          <w:ilvl w:val="0"/>
          <w:numId w:val="15"/>
        </w:numPr>
        <w:shd w:val="clear" w:color="auto" w:fill="FFFFFF"/>
        <w:spacing w:after="120" w:line="240" w:lineRule="auto"/>
        <w:ind w:left="426" w:hanging="426"/>
        <w:contextualSpacing w:val="0"/>
        <w:jc w:val="both"/>
        <w:rPr>
          <w:rFonts w:ascii="Bookman Old Style" w:hAnsi="Bookman Old Style"/>
          <w:color w:val="000000"/>
        </w:rPr>
      </w:pPr>
      <w:r>
        <w:rPr>
          <w:rFonts w:ascii="Bookman Old Style" w:hAnsi="Bookman Old Style"/>
          <w:color w:val="000000"/>
        </w:rPr>
        <w:t>Si interviene in materia di</w:t>
      </w:r>
      <w:r>
        <w:rPr>
          <w:rFonts w:ascii="Bookman Old Style" w:hAnsi="Bookman Old Style"/>
          <w:b/>
          <w:bCs/>
          <w:color w:val="000000"/>
        </w:rPr>
        <w:t xml:space="preserve"> Soggetti attuatori </w:t>
      </w:r>
      <w:r>
        <w:rPr>
          <w:rFonts w:ascii="Bookman Old Style" w:hAnsi="Bookman Old Style"/>
          <w:color w:val="000000"/>
        </w:rPr>
        <w:t xml:space="preserve">degli interventi relativi alle opere pubbliche e ai beni culturali, stabilendo </w:t>
      </w:r>
      <w:r>
        <w:rPr>
          <w:rFonts w:ascii="Bookman Old Style" w:hAnsi="Bookman Old Style"/>
          <w:b/>
          <w:bCs/>
          <w:color w:val="000000"/>
        </w:rPr>
        <w:t>l’incremento del numero</w:t>
      </w:r>
      <w:r>
        <w:rPr>
          <w:rFonts w:ascii="Bookman Old Style" w:hAnsi="Bookman Old Style"/>
          <w:color w:val="000000"/>
        </w:rPr>
        <w:t xml:space="preserve"> dei soggetti attuatori (c.d. </w:t>
      </w:r>
      <w:r>
        <w:rPr>
          <w:rFonts w:ascii="Bookman Old Style" w:hAnsi="Bookman Old Style"/>
          <w:b/>
          <w:bCs/>
          <w:color w:val="000000"/>
        </w:rPr>
        <w:t>stazioni appaltanti</w:t>
      </w:r>
      <w:r>
        <w:rPr>
          <w:rFonts w:ascii="Bookman Old Style" w:hAnsi="Bookman Old Style"/>
          <w:color w:val="000000"/>
        </w:rPr>
        <w:t xml:space="preserve">), per velocizzare il processo di ricostruzione. Con lo stesso scopo verranno </w:t>
      </w:r>
      <w:r>
        <w:rPr>
          <w:rFonts w:ascii="Bookman Old Style" w:hAnsi="Bookman Old Style"/>
          <w:b/>
          <w:bCs/>
          <w:color w:val="000000"/>
        </w:rPr>
        <w:t>incrementate le centrali di committenza</w:t>
      </w:r>
      <w:r>
        <w:rPr>
          <w:rFonts w:ascii="Bookman Old Style" w:hAnsi="Bookman Old Style"/>
          <w:color w:val="000000"/>
        </w:rPr>
        <w:t xml:space="preserve"> ed è prevista la </w:t>
      </w:r>
      <w:r>
        <w:rPr>
          <w:rFonts w:ascii="Bookman Old Style" w:hAnsi="Bookman Old Style"/>
          <w:b/>
          <w:bCs/>
          <w:color w:val="000000"/>
        </w:rPr>
        <w:t>rimborsabilità delle spese sostenute</w:t>
      </w:r>
      <w:r>
        <w:rPr>
          <w:rFonts w:ascii="Bookman Old Style" w:hAnsi="Bookman Old Style"/>
          <w:color w:val="000000"/>
        </w:rPr>
        <w:t xml:space="preserve"> per l’organizzazione delle stesse ivi </w:t>
      </w:r>
      <w:r>
        <w:rPr>
          <w:rFonts w:ascii="Bookman Old Style" w:hAnsi="Bookman Old Style"/>
          <w:b/>
          <w:bCs/>
          <w:color w:val="000000"/>
        </w:rPr>
        <w:t>compreso il personale necessario</w:t>
      </w:r>
      <w:r>
        <w:rPr>
          <w:rFonts w:ascii="Bookman Old Style" w:hAnsi="Bookman Old Style"/>
          <w:color w:val="000000"/>
        </w:rPr>
        <w:t xml:space="preserve">. Riconoscimento agli Enti Locali e alle Diocesi del ruolo di soggetto attuatore nella ricostruzione </w:t>
      </w:r>
      <w:r>
        <w:rPr>
          <w:rFonts w:ascii="Bookman Old Style" w:hAnsi="Bookman Old Style"/>
          <w:b/>
          <w:bCs/>
          <w:color w:val="000000"/>
        </w:rPr>
        <w:t>pubblica</w:t>
      </w:r>
      <w:r>
        <w:rPr>
          <w:rFonts w:ascii="Bookman Old Style" w:hAnsi="Bookman Old Style"/>
          <w:color w:val="000000"/>
        </w:rPr>
        <w:t xml:space="preserve">. </w:t>
      </w:r>
    </w:p>
    <w:p w:rsidR="00356995" w:rsidRDefault="00AF17F3" w:rsidP="00377212">
      <w:pPr>
        <w:pStyle w:val="Paragrafoelenco"/>
        <w:numPr>
          <w:ilvl w:val="0"/>
          <w:numId w:val="15"/>
        </w:numPr>
        <w:shd w:val="clear" w:color="auto" w:fill="FFFFFF"/>
        <w:spacing w:after="120" w:line="240" w:lineRule="auto"/>
        <w:ind w:left="426" w:hanging="426"/>
        <w:contextualSpacing w:val="0"/>
        <w:jc w:val="both"/>
        <w:rPr>
          <w:rFonts w:ascii="Bookman Old Style" w:hAnsi="Bookman Old Style"/>
          <w:color w:val="000000"/>
        </w:rPr>
      </w:pPr>
      <w:r>
        <w:rPr>
          <w:rFonts w:ascii="Bookman Old Style" w:hAnsi="Bookman Old Style"/>
          <w:b/>
          <w:bCs/>
        </w:rPr>
        <w:t xml:space="preserve">Si prevedono </w:t>
      </w:r>
      <w:r w:rsidR="00356995">
        <w:rPr>
          <w:rFonts w:ascii="Bookman Old Style" w:hAnsi="Bookman Old Style"/>
          <w:b/>
          <w:bCs/>
        </w:rPr>
        <w:t xml:space="preserve">deroghe e </w:t>
      </w:r>
      <w:r>
        <w:rPr>
          <w:rFonts w:ascii="Bookman Old Style" w:hAnsi="Bookman Old Style"/>
          <w:b/>
          <w:bCs/>
        </w:rPr>
        <w:t xml:space="preserve">semplificazioni </w:t>
      </w:r>
      <w:r w:rsidR="00574474">
        <w:rPr>
          <w:rFonts w:ascii="Bookman Old Style" w:hAnsi="Bookman Old Style"/>
          <w:b/>
          <w:bCs/>
        </w:rPr>
        <w:t>per gli </w:t>
      </w:r>
      <w:r w:rsidR="00356995">
        <w:rPr>
          <w:rFonts w:ascii="Bookman Old Style" w:hAnsi="Bookman Old Style"/>
          <w:b/>
          <w:bCs/>
        </w:rPr>
        <w:t>Enti Locali in materia di appalti per la ricostruzione pubblica</w:t>
      </w:r>
      <w:r w:rsidR="00574474">
        <w:rPr>
          <w:rFonts w:ascii="Bookman Old Style" w:hAnsi="Bookman Old Style"/>
        </w:rPr>
        <w:t xml:space="preserve"> per </w:t>
      </w:r>
      <w:r w:rsidR="00356995">
        <w:rPr>
          <w:rFonts w:ascii="Bookman Old Style" w:hAnsi="Bookman Old Style"/>
        </w:rPr>
        <w:t xml:space="preserve">garantire un celere ripristino della funzionalità degli </w:t>
      </w:r>
      <w:r w:rsidR="00356995">
        <w:rPr>
          <w:rFonts w:ascii="Bookman Old Style" w:hAnsi="Bookman Old Style"/>
          <w:b/>
          <w:bCs/>
        </w:rPr>
        <w:t>immobi</w:t>
      </w:r>
      <w:r w:rsidR="00574474">
        <w:rPr>
          <w:rFonts w:ascii="Bookman Old Style" w:hAnsi="Bookman Old Style"/>
          <w:b/>
          <w:bCs/>
        </w:rPr>
        <w:t xml:space="preserve">li adibiti ad uso scolastico e </w:t>
      </w:r>
      <w:r w:rsidR="00356995">
        <w:rPr>
          <w:rFonts w:ascii="Bookman Old Style" w:hAnsi="Bookman Old Style"/>
          <w:b/>
          <w:bCs/>
        </w:rPr>
        <w:t>universitario</w:t>
      </w:r>
      <w:r>
        <w:rPr>
          <w:rFonts w:ascii="Bookman Old Style" w:hAnsi="Bookman Old Style"/>
        </w:rPr>
        <w:t xml:space="preserve">. Gli </w:t>
      </w:r>
      <w:r w:rsidR="00356995">
        <w:rPr>
          <w:rFonts w:ascii="Bookman Old Style" w:hAnsi="Bookman Old Style"/>
        </w:rPr>
        <w:t>interventi di riparazione e ricost</w:t>
      </w:r>
      <w:r w:rsidR="00574474">
        <w:rPr>
          <w:rFonts w:ascii="Bookman Old Style" w:hAnsi="Bookman Old Style"/>
        </w:rPr>
        <w:t>ruzione possono essere attuati,</w:t>
      </w:r>
      <w:r w:rsidR="00356995">
        <w:rPr>
          <w:rFonts w:ascii="Bookman Old Style" w:hAnsi="Bookman Old Style"/>
        </w:rPr>
        <w:t xml:space="preserve"> fino alla data del 31 dicembre 2019 ed entro i limiti della soglia di</w:t>
      </w:r>
      <w:r>
        <w:rPr>
          <w:rFonts w:ascii="Bookman Old Style" w:hAnsi="Bookman Old Style"/>
        </w:rPr>
        <w:t xml:space="preserve"> rilevanza comunitaria </w:t>
      </w:r>
      <w:r w:rsidR="00356995">
        <w:rPr>
          <w:rFonts w:ascii="Bookman Old Style" w:hAnsi="Bookman Old Style"/>
        </w:rPr>
        <w:t>di cui all’articolo 35 del decreto legislativo 18 aprile 2016, n. 50</w:t>
      </w:r>
      <w:r>
        <w:rPr>
          <w:rFonts w:ascii="Bookman Old Style" w:hAnsi="Bookman Old Style"/>
        </w:rPr>
        <w:t>,</w:t>
      </w:r>
      <w:r w:rsidR="00356995">
        <w:rPr>
          <w:rFonts w:ascii="Bookman Old Style" w:hAnsi="Bookman Old Style"/>
        </w:rPr>
        <w:t xml:space="preserve"> e successive modifiche ed integrazioni, applicando per l’affidamento di lavori, servizi e forniture le procedure di cui all’articolo 63, commi 1 e 6, del </w:t>
      </w:r>
      <w:r>
        <w:rPr>
          <w:rFonts w:ascii="Bookman Old Style" w:hAnsi="Bookman Old Style"/>
        </w:rPr>
        <w:t xml:space="preserve">medesimo </w:t>
      </w:r>
      <w:r w:rsidR="00356995">
        <w:rPr>
          <w:rFonts w:ascii="Bookman Old Style" w:hAnsi="Bookman Old Style"/>
        </w:rPr>
        <w:t>decreto legislativo n. 50</w:t>
      </w:r>
      <w:r>
        <w:rPr>
          <w:rFonts w:ascii="Bookman Old Style" w:hAnsi="Bookman Old Style"/>
        </w:rPr>
        <w:t>/2016</w:t>
      </w:r>
    </w:p>
    <w:p w:rsidR="00356995" w:rsidRDefault="00356995" w:rsidP="00377212">
      <w:pPr>
        <w:pStyle w:val="Paragrafoelenco"/>
        <w:numPr>
          <w:ilvl w:val="0"/>
          <w:numId w:val="15"/>
        </w:numPr>
        <w:shd w:val="clear" w:color="auto" w:fill="FFFFFF"/>
        <w:spacing w:after="120" w:line="240" w:lineRule="auto"/>
        <w:ind w:left="426" w:hanging="426"/>
        <w:contextualSpacing w:val="0"/>
        <w:jc w:val="both"/>
        <w:rPr>
          <w:rFonts w:ascii="Bookman Old Style" w:hAnsi="Bookman Old Style"/>
          <w:color w:val="000000"/>
        </w:rPr>
      </w:pPr>
      <w:r>
        <w:rPr>
          <w:rFonts w:ascii="Bookman Old Style" w:hAnsi="Bookman Old Style"/>
          <w:color w:val="000000"/>
        </w:rPr>
        <w:t xml:space="preserve">Si stabilisce che il </w:t>
      </w:r>
      <w:r>
        <w:rPr>
          <w:rFonts w:ascii="Bookman Old Style" w:hAnsi="Bookman Old Style"/>
          <w:b/>
          <w:bCs/>
          <w:color w:val="000000"/>
        </w:rPr>
        <w:t>Commissario straordinario ai fini dell’approvazione dei progetti di ricostruzione</w:t>
      </w:r>
      <w:r>
        <w:rPr>
          <w:rFonts w:ascii="Bookman Old Style" w:hAnsi="Bookman Old Style"/>
          <w:color w:val="000000"/>
        </w:rPr>
        <w:t xml:space="preserve"> possa acquisire il </w:t>
      </w:r>
      <w:r>
        <w:rPr>
          <w:rFonts w:ascii="Bookman Old Style" w:hAnsi="Bookman Old Style"/>
          <w:b/>
          <w:bCs/>
          <w:color w:val="000000"/>
        </w:rPr>
        <w:t>parere</w:t>
      </w:r>
      <w:r>
        <w:rPr>
          <w:rFonts w:ascii="Bookman Old Style" w:hAnsi="Bookman Old Style"/>
          <w:color w:val="000000"/>
        </w:rPr>
        <w:t xml:space="preserve"> della Conferenza permanente ovvero </w:t>
      </w:r>
      <w:r>
        <w:rPr>
          <w:rFonts w:ascii="Bookman Old Style" w:hAnsi="Bookman Old Style"/>
          <w:b/>
          <w:bCs/>
          <w:color w:val="000000"/>
        </w:rPr>
        <w:t>anche delle Conferenze regionali</w:t>
      </w:r>
      <w:r w:rsidR="00574474">
        <w:rPr>
          <w:rFonts w:ascii="Bookman Old Style" w:hAnsi="Bookman Old Style"/>
          <w:color w:val="000000"/>
        </w:rPr>
        <w:t>.</w:t>
      </w:r>
    </w:p>
    <w:p w:rsidR="00356995" w:rsidRDefault="00356995" w:rsidP="00377212">
      <w:pPr>
        <w:pStyle w:val="Paragrafoelenco"/>
        <w:numPr>
          <w:ilvl w:val="0"/>
          <w:numId w:val="15"/>
        </w:numPr>
        <w:shd w:val="clear" w:color="auto" w:fill="FFFFFF"/>
        <w:spacing w:after="120" w:line="240" w:lineRule="auto"/>
        <w:ind w:left="426" w:hanging="426"/>
        <w:contextualSpacing w:val="0"/>
        <w:jc w:val="both"/>
        <w:rPr>
          <w:rFonts w:ascii="Bookman Old Style" w:hAnsi="Bookman Old Style"/>
          <w:color w:val="000000"/>
        </w:rPr>
      </w:pPr>
      <w:r>
        <w:rPr>
          <w:rFonts w:ascii="Bookman Old Style" w:hAnsi="Bookman Old Style"/>
          <w:color w:val="000000"/>
        </w:rPr>
        <w:t xml:space="preserve">Si pospone </w:t>
      </w:r>
      <w:r>
        <w:rPr>
          <w:rFonts w:ascii="Bookman Old Style" w:hAnsi="Bookman Old Style"/>
          <w:b/>
          <w:bCs/>
          <w:color w:val="000000"/>
        </w:rPr>
        <w:t xml:space="preserve">dal 31/12/2017 al 30/04/2018 la scadenza della progettazione degli interventi </w:t>
      </w:r>
      <w:r>
        <w:rPr>
          <w:rFonts w:ascii="Bookman Old Style" w:hAnsi="Bookman Old Style"/>
          <w:color w:val="000000"/>
        </w:rPr>
        <w:t xml:space="preserve">che rientrano nelle procedure accelerate per l’immediata riparazione con rafforzamento locale </w:t>
      </w:r>
      <w:r>
        <w:rPr>
          <w:rFonts w:ascii="Bookman Old Style" w:hAnsi="Bookman Old Style"/>
          <w:b/>
          <w:bCs/>
          <w:color w:val="000000"/>
        </w:rPr>
        <w:t>degli edifici che hanno subito danni lievi</w:t>
      </w:r>
      <w:r>
        <w:rPr>
          <w:rFonts w:ascii="Bookman Old Style" w:hAnsi="Bookman Old Style"/>
          <w:color w:val="000000"/>
        </w:rPr>
        <w:t xml:space="preserve"> e che non sono stati classificati agibili secondo la procedura </w:t>
      </w:r>
      <w:proofErr w:type="spellStart"/>
      <w:r>
        <w:rPr>
          <w:rFonts w:ascii="Bookman Old Style" w:hAnsi="Bookman Old Style"/>
          <w:color w:val="000000"/>
        </w:rPr>
        <w:t>Aedes</w:t>
      </w:r>
      <w:proofErr w:type="spellEnd"/>
      <w:r>
        <w:rPr>
          <w:rFonts w:ascii="Bookman Old Style" w:hAnsi="Bookman Old Style"/>
          <w:color w:val="000000"/>
        </w:rPr>
        <w:t xml:space="preserve">. </w:t>
      </w:r>
    </w:p>
    <w:p w:rsidR="00356995" w:rsidRDefault="00356995" w:rsidP="00377212">
      <w:pPr>
        <w:pStyle w:val="Paragrafoelenco"/>
        <w:numPr>
          <w:ilvl w:val="0"/>
          <w:numId w:val="15"/>
        </w:numPr>
        <w:shd w:val="clear" w:color="auto" w:fill="FFFFFF"/>
        <w:spacing w:after="120" w:line="240" w:lineRule="auto"/>
        <w:ind w:left="426" w:hanging="426"/>
        <w:contextualSpacing w:val="0"/>
        <w:jc w:val="both"/>
        <w:rPr>
          <w:rFonts w:ascii="Bookman Old Style" w:hAnsi="Bookman Old Style"/>
          <w:color w:val="000000"/>
        </w:rPr>
      </w:pPr>
      <w:r>
        <w:rPr>
          <w:rFonts w:ascii="Bookman Old Style" w:hAnsi="Bookman Old Style"/>
          <w:color w:val="000000"/>
        </w:rPr>
        <w:t xml:space="preserve">Si </w:t>
      </w:r>
      <w:r>
        <w:rPr>
          <w:rFonts w:ascii="Bookman Old Style" w:hAnsi="Bookman Old Style"/>
          <w:b/>
          <w:bCs/>
          <w:color w:val="000000"/>
        </w:rPr>
        <w:t>prorogano i termini di sospensione dei pagamenti</w:t>
      </w:r>
      <w:r w:rsidR="005319EE">
        <w:rPr>
          <w:rFonts w:ascii="Bookman Old Style" w:hAnsi="Bookman Old Style"/>
          <w:color w:val="000000"/>
        </w:rPr>
        <w:t>; s</w:t>
      </w:r>
      <w:r>
        <w:rPr>
          <w:rFonts w:ascii="Bookman Old Style" w:hAnsi="Bookman Old Style"/>
          <w:color w:val="000000"/>
        </w:rPr>
        <w:t>i prevede la possibilità per i beneficiari dei mutui e dei finanziamenti di optare per la sospensione del pagamento dell’intero importo delle rate in scadenza. Ove non venga esercitata l’opzione, la sospensione riguarda l’intero importo delle rate in scadenza, rispettivamente, entro il 31 dicembre 2018 ed entro il 31 dicembre 2020, per gli immobili in “zona rossa”.  Per tutto il 2018 vengono anche sospesi i pagamenti delle bollette di acqua, luce e gas per chi dichiara l’inagibilità di imprese, case o uffici e si impone agli enti erogatori di rateizzare (almeno in 36 rate) i pagamenti al termine della sospensione</w:t>
      </w:r>
      <w:r w:rsidR="001E34A1">
        <w:rPr>
          <w:rFonts w:ascii="Bookman Old Style" w:hAnsi="Bookman Old Style"/>
          <w:color w:val="000000"/>
        </w:rPr>
        <w:t>.</w:t>
      </w:r>
    </w:p>
    <w:p w:rsidR="001E34A1" w:rsidRPr="00377212" w:rsidRDefault="001E34A1" w:rsidP="00377212">
      <w:pPr>
        <w:pStyle w:val="Paragrafoelenco"/>
        <w:numPr>
          <w:ilvl w:val="0"/>
          <w:numId w:val="15"/>
        </w:numPr>
        <w:shd w:val="clear" w:color="auto" w:fill="FFFFFF"/>
        <w:spacing w:after="120" w:line="240" w:lineRule="auto"/>
        <w:ind w:left="426" w:hanging="426"/>
        <w:contextualSpacing w:val="0"/>
        <w:jc w:val="both"/>
        <w:rPr>
          <w:rFonts w:ascii="Bookman Old Style" w:hAnsi="Bookman Old Style"/>
        </w:rPr>
      </w:pPr>
      <w:r w:rsidRPr="00377212">
        <w:rPr>
          <w:rFonts w:ascii="Bookman Old Style" w:hAnsi="Bookman Old Style"/>
        </w:rPr>
        <w:t>Viene estesa</w:t>
      </w:r>
      <w:r w:rsidR="005319EE" w:rsidRPr="00377212">
        <w:rPr>
          <w:rFonts w:ascii="Bookman Old Style" w:hAnsi="Bookman Old Style"/>
        </w:rPr>
        <w:t xml:space="preserve"> (</w:t>
      </w:r>
      <w:r w:rsidRPr="00377212">
        <w:rPr>
          <w:rFonts w:ascii="Bookman Old Style" w:hAnsi="Bookman Old Style"/>
        </w:rPr>
        <w:t>comma 34</w:t>
      </w:r>
      <w:r w:rsidR="005319EE" w:rsidRPr="00377212">
        <w:rPr>
          <w:rFonts w:ascii="Bookman Old Style" w:hAnsi="Bookman Old Style"/>
        </w:rPr>
        <w:t>)</w:t>
      </w:r>
      <w:r w:rsidRPr="00377212">
        <w:rPr>
          <w:rFonts w:ascii="Bookman Old Style" w:hAnsi="Bookman Old Style"/>
        </w:rPr>
        <w:t xml:space="preserve">, ai </w:t>
      </w:r>
      <w:r w:rsidR="00FA49EC" w:rsidRPr="00377212">
        <w:rPr>
          <w:rFonts w:ascii="Bookman Old Style" w:hAnsi="Bookman Old Style"/>
        </w:rPr>
        <w:t>C</w:t>
      </w:r>
      <w:r w:rsidRPr="00377212">
        <w:rPr>
          <w:rFonts w:ascii="Bookman Old Style" w:hAnsi="Bookman Old Style"/>
        </w:rPr>
        <w:t xml:space="preserve">omuni colpiti dal sisma 2009 la priorità, già prevista per gli enti colpiti dal sisma 2012, di richiesta di spazi finanziari nell’ambito del patto nazionale verticale di cui al comma 492 della legge di bilancio 2017. </w:t>
      </w:r>
    </w:p>
    <w:p w:rsidR="00356995" w:rsidRDefault="00356995" w:rsidP="00377212">
      <w:pPr>
        <w:pStyle w:val="Paragrafoelenco"/>
        <w:numPr>
          <w:ilvl w:val="0"/>
          <w:numId w:val="15"/>
        </w:numPr>
        <w:shd w:val="clear" w:color="auto" w:fill="FFFFFF"/>
        <w:spacing w:after="120" w:line="240" w:lineRule="auto"/>
        <w:ind w:left="426" w:hanging="426"/>
        <w:contextualSpacing w:val="0"/>
        <w:jc w:val="both"/>
        <w:rPr>
          <w:rFonts w:ascii="Bookman Old Style" w:hAnsi="Bookman Old Style"/>
          <w:color w:val="000000"/>
        </w:rPr>
      </w:pPr>
      <w:r w:rsidRPr="00356995">
        <w:rPr>
          <w:rFonts w:ascii="Bookman Old Style" w:hAnsi="Bookman Old Style"/>
          <w:bCs/>
          <w:color w:val="000000"/>
        </w:rPr>
        <w:t>S</w:t>
      </w:r>
      <w:r w:rsidRPr="00356995">
        <w:rPr>
          <w:rFonts w:ascii="Bookman Old Style" w:hAnsi="Bookman Old Style"/>
          <w:color w:val="000000"/>
        </w:rPr>
        <w:t>i</w:t>
      </w:r>
      <w:r>
        <w:rPr>
          <w:rFonts w:ascii="Bookman Old Style" w:hAnsi="Bookman Old Style"/>
          <w:color w:val="000000"/>
        </w:rPr>
        <w:t xml:space="preserve"> prevedono norme in materia di </w:t>
      </w:r>
      <w:r>
        <w:rPr>
          <w:rFonts w:ascii="Bookman Old Style" w:hAnsi="Bookman Old Style"/>
          <w:b/>
          <w:bCs/>
          <w:color w:val="000000"/>
        </w:rPr>
        <w:t>sindaci e assessori</w:t>
      </w:r>
      <w:r>
        <w:rPr>
          <w:rFonts w:ascii="Bookman Old Style" w:hAnsi="Bookman Old Style"/>
          <w:color w:val="000000"/>
        </w:rPr>
        <w:t xml:space="preserve"> dei </w:t>
      </w:r>
      <w:r w:rsidR="00FA49EC">
        <w:rPr>
          <w:rFonts w:ascii="Bookman Old Style" w:hAnsi="Bookman Old Style"/>
          <w:color w:val="000000"/>
        </w:rPr>
        <w:t xml:space="preserve">Comuni </w:t>
      </w:r>
      <w:r>
        <w:rPr>
          <w:rFonts w:ascii="Bookman Old Style" w:hAnsi="Bookman Old Style"/>
          <w:color w:val="000000"/>
        </w:rPr>
        <w:t xml:space="preserve">colpiti, in tema di indennità di funzione nonché per il personale assunto dai </w:t>
      </w:r>
      <w:r w:rsidR="00FA49EC">
        <w:rPr>
          <w:rFonts w:ascii="Bookman Old Style" w:hAnsi="Bookman Old Style"/>
          <w:color w:val="000000"/>
        </w:rPr>
        <w:t xml:space="preserve">Comuni </w:t>
      </w:r>
      <w:r>
        <w:rPr>
          <w:rFonts w:ascii="Bookman Old Style" w:hAnsi="Bookman Old Style"/>
          <w:color w:val="000000"/>
        </w:rPr>
        <w:t xml:space="preserve">nei processi di </w:t>
      </w:r>
      <w:r>
        <w:rPr>
          <w:rFonts w:ascii="Bookman Old Style" w:hAnsi="Bookman Old Style"/>
          <w:b/>
          <w:bCs/>
          <w:color w:val="000000"/>
        </w:rPr>
        <w:lastRenderedPageBreak/>
        <w:t>ricostruzione a seguito del sisma 2009</w:t>
      </w:r>
      <w:r>
        <w:rPr>
          <w:rFonts w:ascii="Bookman Old Style" w:hAnsi="Bookman Old Style"/>
          <w:color w:val="000000"/>
        </w:rPr>
        <w:t xml:space="preserve">, mentre con i commi 35, 36 e 37, in relazione alla ricostruzione post </w:t>
      </w:r>
      <w:r>
        <w:rPr>
          <w:rFonts w:ascii="Bookman Old Style" w:hAnsi="Bookman Old Style"/>
          <w:b/>
          <w:bCs/>
          <w:color w:val="000000"/>
        </w:rPr>
        <w:t>sisma 2009</w:t>
      </w:r>
      <w:r>
        <w:rPr>
          <w:rFonts w:ascii="Bookman Old Style" w:hAnsi="Bookman Old Style"/>
          <w:color w:val="000000"/>
        </w:rPr>
        <w:t xml:space="preserve">, si proroga la normativa vigente </w:t>
      </w:r>
      <w:r>
        <w:rPr>
          <w:rFonts w:ascii="Bookman Old Style" w:hAnsi="Bookman Old Style"/>
          <w:b/>
          <w:bCs/>
          <w:color w:val="000000"/>
        </w:rPr>
        <w:t>sino al 31 dicembre 2020</w:t>
      </w:r>
      <w:r>
        <w:rPr>
          <w:rFonts w:ascii="Bookman Old Style" w:hAnsi="Bookman Old Style"/>
          <w:color w:val="000000"/>
        </w:rPr>
        <w:t xml:space="preserve">, prevedendo la prosecuzione dei contratti del personale in servizio presso gli Uffici speciali per la ricostruzione. Con il comma 38, si stabilisce una </w:t>
      </w:r>
      <w:r>
        <w:rPr>
          <w:rFonts w:ascii="Bookman Old Style" w:hAnsi="Bookman Old Style"/>
          <w:b/>
          <w:bCs/>
          <w:color w:val="000000"/>
        </w:rPr>
        <w:t>proroga</w:t>
      </w:r>
      <w:r>
        <w:rPr>
          <w:rFonts w:ascii="Bookman Old Style" w:hAnsi="Bookman Old Style"/>
          <w:color w:val="000000"/>
        </w:rPr>
        <w:t xml:space="preserve">, </w:t>
      </w:r>
      <w:r>
        <w:rPr>
          <w:rFonts w:ascii="Bookman Old Style" w:hAnsi="Bookman Old Style"/>
          <w:b/>
          <w:bCs/>
          <w:color w:val="000000"/>
        </w:rPr>
        <w:t>per gli anni 2019 e 2020,</w:t>
      </w:r>
      <w:r>
        <w:rPr>
          <w:rFonts w:ascii="Bookman Old Style" w:hAnsi="Bookman Old Style"/>
          <w:color w:val="000000"/>
        </w:rPr>
        <w:t xml:space="preserve"> per i contratti del personale assunto dai </w:t>
      </w:r>
      <w:r w:rsidR="00FA49EC">
        <w:rPr>
          <w:rFonts w:ascii="Bookman Old Style" w:hAnsi="Bookman Old Style"/>
          <w:color w:val="000000"/>
        </w:rPr>
        <w:t xml:space="preserve">Comuni </w:t>
      </w:r>
      <w:r>
        <w:rPr>
          <w:rFonts w:ascii="Bookman Old Style" w:hAnsi="Bookman Old Style"/>
          <w:color w:val="000000"/>
        </w:rPr>
        <w:t xml:space="preserve">del cratere del </w:t>
      </w:r>
      <w:r>
        <w:rPr>
          <w:rFonts w:ascii="Bookman Old Style" w:hAnsi="Bookman Old Style"/>
          <w:b/>
          <w:bCs/>
          <w:color w:val="000000"/>
        </w:rPr>
        <w:t>sisma 2009</w:t>
      </w:r>
      <w:r>
        <w:rPr>
          <w:rFonts w:ascii="Bookman Old Style" w:hAnsi="Bookman Old Style"/>
          <w:color w:val="000000"/>
        </w:rPr>
        <w:t xml:space="preserve">, indicando in 1.700.000 euro il relativo limite di spesa. Si prevede che i Comuni del </w:t>
      </w:r>
      <w:r w:rsidR="005319EE">
        <w:rPr>
          <w:rFonts w:ascii="Bookman Old Style" w:hAnsi="Bookman Old Style"/>
          <w:color w:val="000000"/>
        </w:rPr>
        <w:t xml:space="preserve">cratere </w:t>
      </w:r>
      <w:r>
        <w:rPr>
          <w:rFonts w:ascii="Bookman Old Style" w:hAnsi="Bookman Old Style"/>
          <w:color w:val="000000"/>
        </w:rPr>
        <w:t xml:space="preserve">diversi da L’Aquila, possano programmare, </w:t>
      </w:r>
      <w:r>
        <w:rPr>
          <w:rFonts w:ascii="Bookman Old Style" w:hAnsi="Bookman Old Style"/>
          <w:b/>
          <w:bCs/>
          <w:color w:val="000000"/>
        </w:rPr>
        <w:t>entro 120 giorni dall'entrata in vigore della disposizione,</w:t>
      </w:r>
      <w:r>
        <w:rPr>
          <w:rFonts w:ascii="Bookman Old Style" w:hAnsi="Bookman Old Style"/>
          <w:color w:val="000000"/>
        </w:rPr>
        <w:t xml:space="preserve"> a valere sulle risorse per la ricostruzione, interventi connessi e complementari a quelli di ricostruzione. Si prevede l’obbligo, per gli </w:t>
      </w:r>
      <w:r>
        <w:rPr>
          <w:rFonts w:ascii="Bookman Old Style" w:hAnsi="Bookman Old Style"/>
          <w:b/>
          <w:bCs/>
          <w:color w:val="000000"/>
        </w:rPr>
        <w:t>assegnatari di alloggi di società cooperativa a proprietà indivisa</w:t>
      </w:r>
      <w:r>
        <w:rPr>
          <w:rFonts w:ascii="Bookman Old Style" w:hAnsi="Bookman Old Style"/>
          <w:color w:val="000000"/>
        </w:rPr>
        <w:t xml:space="preserve">, adibiti ad abitazione principale alla data del </w:t>
      </w:r>
      <w:r>
        <w:rPr>
          <w:rFonts w:ascii="Bookman Old Style" w:hAnsi="Bookman Old Style"/>
          <w:b/>
          <w:bCs/>
          <w:color w:val="000000"/>
        </w:rPr>
        <w:t>sisma del 2009</w:t>
      </w:r>
      <w:r>
        <w:rPr>
          <w:rFonts w:ascii="Bookman Old Style" w:hAnsi="Bookman Old Style"/>
          <w:color w:val="000000"/>
        </w:rPr>
        <w:t>, che hanno già beneficiato del contributo di cui all’articolo 3 del decreto legge n. 39 del 2009, di cedere al Comune i diritti inerenti la partecipazione alla ricostruzione del complesso edilizio della cooperativa.</w:t>
      </w:r>
    </w:p>
    <w:p w:rsidR="00356995" w:rsidRDefault="00356995" w:rsidP="00377212">
      <w:pPr>
        <w:pStyle w:val="Paragrafoelenco"/>
        <w:numPr>
          <w:ilvl w:val="0"/>
          <w:numId w:val="15"/>
        </w:numPr>
        <w:shd w:val="clear" w:color="auto" w:fill="FFFFFF"/>
        <w:spacing w:after="120" w:line="240" w:lineRule="auto"/>
        <w:ind w:left="426" w:hanging="426"/>
        <w:contextualSpacing w:val="0"/>
        <w:jc w:val="both"/>
        <w:rPr>
          <w:rFonts w:ascii="Bookman Old Style" w:hAnsi="Bookman Old Style"/>
          <w:color w:val="000000"/>
        </w:rPr>
      </w:pPr>
      <w:r>
        <w:rPr>
          <w:rFonts w:ascii="Bookman Old Style" w:hAnsi="Bookman Old Style"/>
          <w:color w:val="000000"/>
        </w:rPr>
        <w:t xml:space="preserve">Si interviene in materia di </w:t>
      </w:r>
      <w:r>
        <w:rPr>
          <w:rFonts w:ascii="Bookman Old Style" w:hAnsi="Bookman Old Style"/>
          <w:b/>
          <w:bCs/>
          <w:color w:val="000000"/>
        </w:rPr>
        <w:t>personale assunto</w:t>
      </w:r>
      <w:r>
        <w:rPr>
          <w:rFonts w:ascii="Bookman Old Style" w:hAnsi="Bookman Old Style"/>
          <w:color w:val="000000"/>
        </w:rPr>
        <w:t xml:space="preserve"> per le finalità connesse alla situazione emergenziale prodottasi a seguito del </w:t>
      </w:r>
      <w:r>
        <w:rPr>
          <w:rFonts w:ascii="Bookman Old Style" w:hAnsi="Bookman Old Style"/>
          <w:b/>
          <w:bCs/>
          <w:color w:val="000000"/>
        </w:rPr>
        <w:t>sisma del 20 e 29 maggio 2012</w:t>
      </w:r>
      <w:r>
        <w:rPr>
          <w:rFonts w:ascii="Bookman Old Style" w:hAnsi="Bookman Old Style"/>
          <w:color w:val="000000"/>
        </w:rPr>
        <w:t xml:space="preserve">, stabilendo </w:t>
      </w:r>
      <w:r>
        <w:rPr>
          <w:rFonts w:ascii="Bookman Old Style" w:hAnsi="Bookman Old Style"/>
          <w:b/>
          <w:bCs/>
          <w:color w:val="000000"/>
        </w:rPr>
        <w:t>procedure concorsuali riservate</w:t>
      </w:r>
      <w:r>
        <w:rPr>
          <w:rFonts w:ascii="Bookman Old Style" w:hAnsi="Bookman Old Style"/>
          <w:color w:val="000000"/>
        </w:rPr>
        <w:t xml:space="preserve">, in relazione alle condizioni indicate dalla norma. Il comma 43, in relazione al </w:t>
      </w:r>
      <w:r>
        <w:rPr>
          <w:rFonts w:ascii="Bookman Old Style" w:hAnsi="Bookman Old Style"/>
          <w:b/>
          <w:bCs/>
          <w:color w:val="000000"/>
        </w:rPr>
        <w:t>sisma del 2012</w:t>
      </w:r>
      <w:r>
        <w:rPr>
          <w:rFonts w:ascii="Bookman Old Style" w:hAnsi="Bookman Old Style"/>
          <w:color w:val="000000"/>
        </w:rPr>
        <w:t xml:space="preserve">, detta un </w:t>
      </w:r>
      <w:r>
        <w:rPr>
          <w:rFonts w:ascii="Bookman Old Style" w:hAnsi="Bookman Old Style"/>
          <w:b/>
          <w:bCs/>
          <w:color w:val="000000"/>
        </w:rPr>
        <w:t xml:space="preserve">elenco di </w:t>
      </w:r>
      <w:r w:rsidR="00FA49EC">
        <w:rPr>
          <w:rFonts w:ascii="Bookman Old Style" w:hAnsi="Bookman Old Style"/>
          <w:b/>
          <w:bCs/>
          <w:color w:val="000000"/>
        </w:rPr>
        <w:t xml:space="preserve">Comuni </w:t>
      </w:r>
      <w:r>
        <w:rPr>
          <w:rFonts w:ascii="Bookman Old Style" w:hAnsi="Bookman Old Style"/>
          <w:b/>
          <w:bCs/>
          <w:color w:val="000000"/>
        </w:rPr>
        <w:t>interessati dalla proroga dello stato di emergenza</w:t>
      </w:r>
      <w:r>
        <w:rPr>
          <w:rFonts w:ascii="Bookman Old Style" w:hAnsi="Bookman Old Style"/>
          <w:color w:val="000000"/>
        </w:rPr>
        <w:t xml:space="preserve">, disposta dal </w:t>
      </w:r>
      <w:r>
        <w:rPr>
          <w:rFonts w:ascii="Bookman Old Style" w:hAnsi="Bookman Old Style"/>
          <w:b/>
          <w:bCs/>
          <w:color w:val="000000"/>
        </w:rPr>
        <w:t>comma 44</w:t>
      </w:r>
      <w:r>
        <w:rPr>
          <w:rFonts w:ascii="Bookman Old Style" w:hAnsi="Bookman Old Style"/>
          <w:color w:val="000000"/>
        </w:rPr>
        <w:t xml:space="preserve"> al 31 dicembre 2020, al fine di garantire continuità alle procedure per la ricostruzione. Alle conseguenti spese si fa fronte in base alla legislazione vigente.</w:t>
      </w:r>
    </w:p>
    <w:p w:rsidR="00356995" w:rsidRDefault="00356995" w:rsidP="00377212">
      <w:pPr>
        <w:shd w:val="clear" w:color="auto" w:fill="FFFFFF"/>
        <w:spacing w:after="120" w:line="240" w:lineRule="auto"/>
        <w:ind w:left="23"/>
        <w:jc w:val="both"/>
        <w:rPr>
          <w:rFonts w:ascii="Bookman Old Style" w:eastAsia="Times New Roman" w:hAnsi="Bookman Old Style" w:cs="Times New Roman"/>
          <w:color w:val="000000"/>
        </w:rPr>
      </w:pPr>
    </w:p>
    <w:p w:rsidR="00FA49EC" w:rsidRDefault="00FA49EC" w:rsidP="00346DD4">
      <w:pPr>
        <w:shd w:val="clear" w:color="auto" w:fill="FFFFFF"/>
        <w:spacing w:before="23" w:after="23" w:line="240" w:lineRule="auto"/>
        <w:ind w:left="23"/>
        <w:jc w:val="both"/>
        <w:rPr>
          <w:rFonts w:ascii="Bookman Old Style" w:eastAsia="Times New Roman" w:hAnsi="Bookman Old Style" w:cs="Times New Roman"/>
          <w:color w:val="000000"/>
        </w:rPr>
      </w:pPr>
    </w:p>
    <w:p w:rsidR="00FA49EC" w:rsidRDefault="00FA49EC" w:rsidP="00FA49EC">
      <w:pPr>
        <w:shd w:val="clear" w:color="auto" w:fill="FFFFFF"/>
        <w:spacing w:after="0" w:line="240" w:lineRule="auto"/>
        <w:jc w:val="center"/>
        <w:outlineLvl w:val="2"/>
        <w:rPr>
          <w:rFonts w:ascii="Bookman Old Style" w:eastAsia="Times New Roman" w:hAnsi="Bookman Old Style" w:cs="Times New Roman"/>
          <w:b/>
          <w:bCs/>
          <w:color w:val="000000"/>
        </w:rPr>
      </w:pPr>
      <w:r>
        <w:rPr>
          <w:rFonts w:ascii="Bookman Old Style" w:eastAsia="Times New Roman" w:hAnsi="Bookman Old Style" w:cs="Times New Roman"/>
          <w:b/>
          <w:bCs/>
          <w:color w:val="000000"/>
        </w:rPr>
        <w:t>Art. 3</w:t>
      </w:r>
    </w:p>
    <w:p w:rsidR="00FA49EC" w:rsidRDefault="00FA49EC" w:rsidP="00FA49EC">
      <w:pPr>
        <w:shd w:val="clear" w:color="auto" w:fill="FFFFFF"/>
        <w:spacing w:after="0" w:line="240" w:lineRule="auto"/>
        <w:jc w:val="center"/>
        <w:outlineLvl w:val="2"/>
        <w:rPr>
          <w:rFonts w:ascii="Bookman Old Style" w:eastAsia="Times New Roman" w:hAnsi="Bookman Old Style" w:cs="Times New Roman"/>
          <w:b/>
          <w:bCs/>
          <w:color w:val="000000"/>
        </w:rPr>
      </w:pPr>
      <w:r>
        <w:rPr>
          <w:rFonts w:ascii="Bookman Old Style" w:eastAsia="Times New Roman" w:hAnsi="Bookman Old Style" w:cs="Times New Roman"/>
          <w:b/>
          <w:bCs/>
          <w:color w:val="000000"/>
        </w:rPr>
        <w:t>(</w:t>
      </w:r>
      <w:r w:rsidRPr="00FA1C32">
        <w:rPr>
          <w:rFonts w:ascii="Bookman Old Style" w:hAnsi="Bookman Old Style"/>
          <w:b/>
          <w:i/>
        </w:rPr>
        <w:t xml:space="preserve">Estensione </w:t>
      </w:r>
      <w:proofErr w:type="spellStart"/>
      <w:r w:rsidRPr="00FA1C32">
        <w:rPr>
          <w:rFonts w:ascii="Bookman Old Style" w:hAnsi="Bookman Old Style"/>
          <w:b/>
          <w:i/>
        </w:rPr>
        <w:t>Split</w:t>
      </w:r>
      <w:proofErr w:type="spellEnd"/>
      <w:r w:rsidRPr="00FA1C32">
        <w:rPr>
          <w:rFonts w:ascii="Bookman Old Style" w:hAnsi="Bookman Old Style"/>
          <w:b/>
          <w:i/>
        </w:rPr>
        <w:t xml:space="preserve"> </w:t>
      </w:r>
      <w:proofErr w:type="spellStart"/>
      <w:r w:rsidRPr="00FA1C32">
        <w:rPr>
          <w:rFonts w:ascii="Bookman Old Style" w:hAnsi="Bookman Old Style"/>
          <w:b/>
          <w:i/>
        </w:rPr>
        <w:t>payment</w:t>
      </w:r>
      <w:proofErr w:type="spellEnd"/>
      <w:r w:rsidRPr="00FA1C32">
        <w:rPr>
          <w:rFonts w:ascii="Bookman Old Style" w:hAnsi="Bookman Old Style"/>
          <w:b/>
          <w:i/>
        </w:rPr>
        <w:t xml:space="preserve"> a tutte le società controllate dalla P.A.</w:t>
      </w:r>
      <w:r>
        <w:rPr>
          <w:rFonts w:ascii="Bookman Old Style" w:hAnsi="Bookman Old Style"/>
          <w:b/>
        </w:rPr>
        <w:t>)</w:t>
      </w:r>
    </w:p>
    <w:p w:rsidR="00FA49EC" w:rsidRDefault="00FA49EC" w:rsidP="00FA49EC">
      <w:pPr>
        <w:shd w:val="clear" w:color="auto" w:fill="FFFFFF"/>
        <w:spacing w:after="0" w:line="240" w:lineRule="auto"/>
        <w:jc w:val="center"/>
        <w:outlineLvl w:val="2"/>
        <w:rPr>
          <w:rFonts w:ascii="Bookman Old Style" w:eastAsia="Times New Roman" w:hAnsi="Bookman Old Style" w:cs="Times New Roman"/>
          <w:b/>
          <w:bCs/>
          <w:color w:val="000000"/>
        </w:rPr>
      </w:pPr>
    </w:p>
    <w:p w:rsidR="00FA49EC" w:rsidRDefault="00FA49EC" w:rsidP="00377212">
      <w:pPr>
        <w:spacing w:after="120" w:line="240" w:lineRule="auto"/>
        <w:jc w:val="both"/>
        <w:rPr>
          <w:rFonts w:ascii="Bookman Old Style" w:hAnsi="Bookman Old Style"/>
        </w:rPr>
      </w:pPr>
      <w:r w:rsidRPr="00FA1C32">
        <w:rPr>
          <w:rFonts w:ascii="Bookman Old Style" w:eastAsia="Times New Roman" w:hAnsi="Bookman Old Style" w:cs="Times New Roman"/>
          <w:bCs/>
          <w:color w:val="000000"/>
        </w:rPr>
        <w:t>A decorrere dal 1° gennaio 2018, anche</w:t>
      </w:r>
      <w:r>
        <w:rPr>
          <w:rFonts w:ascii="Bookman Old Style" w:eastAsia="Times New Roman" w:hAnsi="Bookman Old Style" w:cs="Times New Roman"/>
          <w:b/>
          <w:bCs/>
          <w:color w:val="000000"/>
        </w:rPr>
        <w:t xml:space="preserve"> </w:t>
      </w:r>
      <w:r>
        <w:rPr>
          <w:rFonts w:ascii="Bookman Old Style" w:hAnsi="Bookman Old Style"/>
        </w:rPr>
        <w:t xml:space="preserve">alle fatture emesse da tutte le società controllate dalla Pubblica amministrazione, centrale e locale, si applica la disciplina dello </w:t>
      </w:r>
      <w:proofErr w:type="spellStart"/>
      <w:r w:rsidRPr="00377212">
        <w:rPr>
          <w:rFonts w:ascii="Bookman Old Style" w:hAnsi="Bookman Old Style"/>
          <w:i/>
        </w:rPr>
        <w:t>split</w:t>
      </w:r>
      <w:proofErr w:type="spellEnd"/>
      <w:r w:rsidRPr="00377212">
        <w:rPr>
          <w:rFonts w:ascii="Bookman Old Style" w:hAnsi="Bookman Old Style"/>
          <w:i/>
        </w:rPr>
        <w:t xml:space="preserve"> </w:t>
      </w:r>
      <w:proofErr w:type="spellStart"/>
      <w:r w:rsidRPr="00377212">
        <w:rPr>
          <w:rFonts w:ascii="Bookman Old Style" w:hAnsi="Bookman Old Style"/>
          <w:i/>
        </w:rPr>
        <w:t>payment</w:t>
      </w:r>
      <w:proofErr w:type="spellEnd"/>
      <w:r>
        <w:rPr>
          <w:rFonts w:ascii="Bookman Old Style" w:hAnsi="Bookman Old Style"/>
        </w:rPr>
        <w:t xml:space="preserve">. L’art. 3, modificando la legislazione vigente, estende infatti la disciplina dello </w:t>
      </w:r>
      <w:proofErr w:type="spellStart"/>
      <w:r w:rsidRPr="00377212">
        <w:rPr>
          <w:rFonts w:ascii="Bookman Old Style" w:hAnsi="Bookman Old Style"/>
          <w:i/>
        </w:rPr>
        <w:t>split</w:t>
      </w:r>
      <w:proofErr w:type="spellEnd"/>
      <w:r w:rsidRPr="00377212">
        <w:rPr>
          <w:rFonts w:ascii="Bookman Old Style" w:hAnsi="Bookman Old Style"/>
          <w:i/>
        </w:rPr>
        <w:t xml:space="preserve"> </w:t>
      </w:r>
      <w:proofErr w:type="spellStart"/>
      <w:r w:rsidRPr="00377212">
        <w:rPr>
          <w:rFonts w:ascii="Bookman Old Style" w:hAnsi="Bookman Old Style"/>
          <w:i/>
        </w:rPr>
        <w:t>payment</w:t>
      </w:r>
      <w:proofErr w:type="spellEnd"/>
      <w:r>
        <w:rPr>
          <w:rFonts w:ascii="Bookman Old Style" w:hAnsi="Bookman Old Style"/>
        </w:rPr>
        <w:t xml:space="preserve"> a: </w:t>
      </w:r>
    </w:p>
    <w:p w:rsidR="00FA49EC" w:rsidRPr="000B2982" w:rsidRDefault="00FA49EC" w:rsidP="00377212">
      <w:pPr>
        <w:pStyle w:val="Paragrafoelenco"/>
        <w:numPr>
          <w:ilvl w:val="0"/>
          <w:numId w:val="20"/>
        </w:numPr>
        <w:spacing w:after="120" w:line="240" w:lineRule="auto"/>
        <w:jc w:val="both"/>
        <w:rPr>
          <w:rFonts w:ascii="Bookman Old Style" w:hAnsi="Bookman Old Style"/>
        </w:rPr>
      </w:pPr>
      <w:r w:rsidRPr="000B2982">
        <w:rPr>
          <w:rFonts w:ascii="Bookman Old Style" w:hAnsi="Bookman Old Style"/>
        </w:rPr>
        <w:t>enti pubblici economici, comprese le aziende speciali e le aziende pubbliche di servizi alla persona;</w:t>
      </w:r>
    </w:p>
    <w:p w:rsidR="00FA49EC" w:rsidRPr="000B2982" w:rsidRDefault="00FA49EC" w:rsidP="00377212">
      <w:pPr>
        <w:pStyle w:val="Paragrafoelenco"/>
        <w:numPr>
          <w:ilvl w:val="0"/>
          <w:numId w:val="20"/>
        </w:numPr>
        <w:spacing w:after="120" w:line="240" w:lineRule="auto"/>
        <w:jc w:val="both"/>
        <w:rPr>
          <w:rFonts w:ascii="Bookman Old Style" w:hAnsi="Bookman Old Style"/>
        </w:rPr>
      </w:pPr>
      <w:r w:rsidRPr="000B2982">
        <w:rPr>
          <w:rFonts w:ascii="Bookman Old Style" w:hAnsi="Bookman Old Style"/>
        </w:rPr>
        <w:t>fondazioni partecipate da amministrazioni pubbliche, per una percentuale complessiva del fondo di dotazione non inferiore al 70%;</w:t>
      </w:r>
    </w:p>
    <w:p w:rsidR="00FA49EC" w:rsidRPr="000B2982" w:rsidRDefault="00FA49EC" w:rsidP="00377212">
      <w:pPr>
        <w:pStyle w:val="Paragrafoelenco"/>
        <w:numPr>
          <w:ilvl w:val="0"/>
          <w:numId w:val="20"/>
        </w:numPr>
        <w:spacing w:after="120" w:line="240" w:lineRule="auto"/>
        <w:jc w:val="both"/>
        <w:rPr>
          <w:rFonts w:ascii="Bookman Old Style" w:hAnsi="Bookman Old Style"/>
        </w:rPr>
      </w:pPr>
      <w:r w:rsidRPr="000B2982">
        <w:rPr>
          <w:rFonts w:ascii="Bookman Old Style" w:hAnsi="Bookman Old Style"/>
        </w:rPr>
        <w:t>società controllate;</w:t>
      </w:r>
    </w:p>
    <w:p w:rsidR="00FA49EC" w:rsidRPr="000B2982" w:rsidRDefault="00FA49EC" w:rsidP="00377212">
      <w:pPr>
        <w:pStyle w:val="Paragrafoelenco"/>
        <w:numPr>
          <w:ilvl w:val="0"/>
          <w:numId w:val="20"/>
        </w:numPr>
        <w:spacing w:after="120" w:line="240" w:lineRule="auto"/>
        <w:jc w:val="both"/>
        <w:rPr>
          <w:rFonts w:ascii="Bookman Old Style" w:hAnsi="Bookman Old Style"/>
        </w:rPr>
      </w:pPr>
      <w:r w:rsidRPr="000B2982">
        <w:rPr>
          <w:rFonts w:ascii="Bookman Old Style" w:hAnsi="Bookman Old Style"/>
        </w:rPr>
        <w:t>società partecipate, per una percentuale complessiva del capitale non inferiore al 70%;</w:t>
      </w:r>
    </w:p>
    <w:p w:rsidR="00FA49EC" w:rsidRPr="000B2982" w:rsidRDefault="00FA49EC" w:rsidP="00377212">
      <w:pPr>
        <w:pStyle w:val="Paragrafoelenco"/>
        <w:numPr>
          <w:ilvl w:val="0"/>
          <w:numId w:val="20"/>
        </w:numPr>
        <w:spacing w:after="120" w:line="240" w:lineRule="auto"/>
        <w:jc w:val="both"/>
        <w:rPr>
          <w:rFonts w:ascii="Bookman Old Style" w:hAnsi="Bookman Old Style"/>
        </w:rPr>
      </w:pPr>
      <w:r w:rsidRPr="000B2982">
        <w:rPr>
          <w:rFonts w:ascii="Bookman Old Style" w:hAnsi="Bookman Old Style"/>
        </w:rPr>
        <w:t>società quotate inserite nell’indice FTSE MIB della Borsa italiana.</w:t>
      </w:r>
    </w:p>
    <w:p w:rsidR="00FA49EC" w:rsidRDefault="00FA49EC" w:rsidP="00377212">
      <w:pPr>
        <w:spacing w:after="120" w:line="240" w:lineRule="auto"/>
        <w:jc w:val="both"/>
        <w:rPr>
          <w:rFonts w:ascii="Bookman Old Style" w:hAnsi="Bookman Old Style"/>
        </w:rPr>
      </w:pPr>
      <w:r w:rsidRPr="000B2982">
        <w:rPr>
          <w:rFonts w:ascii="Bookman Old Style" w:hAnsi="Bookman Old Style"/>
        </w:rPr>
        <w:t>Le modalità di attuazione dell</w:t>
      </w:r>
      <w:r>
        <w:rPr>
          <w:rFonts w:ascii="Bookman Old Style" w:hAnsi="Bookman Old Style"/>
        </w:rPr>
        <w:t xml:space="preserve">a </w:t>
      </w:r>
      <w:r w:rsidRPr="000B2982">
        <w:rPr>
          <w:rFonts w:ascii="Bookman Old Style" w:hAnsi="Bookman Old Style"/>
        </w:rPr>
        <w:t>norm</w:t>
      </w:r>
      <w:r>
        <w:rPr>
          <w:rFonts w:ascii="Bookman Old Style" w:hAnsi="Bookman Old Style"/>
        </w:rPr>
        <w:t>a</w:t>
      </w:r>
      <w:r w:rsidRPr="000B2982">
        <w:rPr>
          <w:rFonts w:ascii="Bookman Old Style" w:hAnsi="Bookman Old Style"/>
        </w:rPr>
        <w:t xml:space="preserve"> </w:t>
      </w:r>
      <w:r>
        <w:rPr>
          <w:rFonts w:ascii="Bookman Old Style" w:hAnsi="Bookman Old Style"/>
        </w:rPr>
        <w:t>saranno definite con decreto del MEF, che dovrà essere adottato entro 45 giorni dall’entrata in vigore della legge.</w:t>
      </w:r>
    </w:p>
    <w:p w:rsidR="00FA49EC" w:rsidRDefault="00FA49EC" w:rsidP="00FA49EC">
      <w:pPr>
        <w:shd w:val="clear" w:color="auto" w:fill="FFFFFF"/>
        <w:spacing w:after="0" w:line="240" w:lineRule="auto"/>
        <w:jc w:val="center"/>
        <w:outlineLvl w:val="2"/>
        <w:rPr>
          <w:rFonts w:ascii="Bookman Old Style" w:eastAsia="Times New Roman" w:hAnsi="Bookman Old Style" w:cs="Times New Roman"/>
          <w:b/>
          <w:bCs/>
          <w:color w:val="000000"/>
        </w:rPr>
      </w:pPr>
    </w:p>
    <w:p w:rsidR="00FA49EC" w:rsidRDefault="00FA49EC" w:rsidP="00346DD4">
      <w:pPr>
        <w:shd w:val="clear" w:color="auto" w:fill="FFFFFF"/>
        <w:spacing w:before="23" w:after="23" w:line="240" w:lineRule="auto"/>
        <w:ind w:left="23"/>
        <w:jc w:val="both"/>
        <w:rPr>
          <w:rFonts w:ascii="Bookman Old Style" w:eastAsia="Times New Roman" w:hAnsi="Bookman Old Style" w:cs="Times New Roman"/>
          <w:color w:val="000000"/>
        </w:rPr>
      </w:pPr>
    </w:p>
    <w:p w:rsidR="00FA49EC" w:rsidRDefault="00FA49EC" w:rsidP="00346DD4">
      <w:pPr>
        <w:shd w:val="clear" w:color="auto" w:fill="FFFFFF"/>
        <w:spacing w:before="23" w:after="23" w:line="240" w:lineRule="auto"/>
        <w:ind w:left="23"/>
        <w:jc w:val="both"/>
        <w:rPr>
          <w:rFonts w:ascii="Bookman Old Style" w:eastAsia="Times New Roman" w:hAnsi="Bookman Old Style" w:cs="Times New Roman"/>
          <w:color w:val="000000"/>
        </w:rPr>
      </w:pPr>
    </w:p>
    <w:p w:rsidR="001272EE" w:rsidRDefault="001272EE" w:rsidP="001272EE">
      <w:pPr>
        <w:shd w:val="clear" w:color="auto" w:fill="FFFFFF"/>
        <w:spacing w:after="0" w:line="240" w:lineRule="auto"/>
        <w:jc w:val="center"/>
        <w:outlineLvl w:val="2"/>
        <w:rPr>
          <w:rFonts w:ascii="Bookman Old Style" w:eastAsia="Times New Roman" w:hAnsi="Bookman Old Style" w:cs="Times New Roman"/>
          <w:b/>
          <w:bCs/>
          <w:i/>
          <w:iCs/>
          <w:color w:val="000000"/>
        </w:rPr>
      </w:pPr>
      <w:r w:rsidRPr="00CD1AA0">
        <w:rPr>
          <w:rFonts w:ascii="Bookman Old Style" w:eastAsia="Times New Roman" w:hAnsi="Bookman Old Style" w:cs="Times New Roman"/>
          <w:b/>
          <w:bCs/>
          <w:color w:val="000000"/>
        </w:rPr>
        <w:t>Articolo 17-</w:t>
      </w:r>
      <w:r w:rsidRPr="00CD1AA0">
        <w:rPr>
          <w:rFonts w:ascii="Bookman Old Style" w:eastAsia="Times New Roman" w:hAnsi="Bookman Old Style" w:cs="Times New Roman"/>
          <w:b/>
          <w:bCs/>
          <w:i/>
          <w:iCs/>
          <w:color w:val="000000"/>
        </w:rPr>
        <w:t>bis</w:t>
      </w:r>
    </w:p>
    <w:p w:rsidR="001272EE" w:rsidRDefault="001272EE" w:rsidP="001272EE">
      <w:pPr>
        <w:shd w:val="clear" w:color="auto" w:fill="FFFFFF"/>
        <w:spacing w:after="0" w:line="240" w:lineRule="auto"/>
        <w:jc w:val="center"/>
        <w:outlineLvl w:val="2"/>
        <w:rPr>
          <w:rFonts w:ascii="Bookman Old Style" w:eastAsia="Times New Roman" w:hAnsi="Bookman Old Style" w:cs="Times New Roman"/>
          <w:b/>
          <w:bCs/>
          <w:i/>
          <w:iCs/>
          <w:color w:val="000000"/>
        </w:rPr>
      </w:pPr>
      <w:r w:rsidRPr="00CD1AA0">
        <w:rPr>
          <w:rFonts w:ascii="Bookman Old Style" w:eastAsia="Times New Roman" w:hAnsi="Bookman Old Style" w:cs="Times New Roman"/>
          <w:b/>
          <w:bCs/>
          <w:i/>
          <w:iCs/>
          <w:color w:val="000000"/>
        </w:rPr>
        <w:t xml:space="preserve">(Disposizioni in materia di </w:t>
      </w:r>
      <w:r>
        <w:rPr>
          <w:rFonts w:ascii="Bookman Old Style" w:eastAsia="Times New Roman" w:hAnsi="Bookman Old Style" w:cs="Times New Roman"/>
          <w:b/>
          <w:bCs/>
          <w:i/>
          <w:iCs/>
          <w:color w:val="000000"/>
        </w:rPr>
        <w:t>competenza dei comuni relativamente ai siti di importanza comunitaria</w:t>
      </w:r>
      <w:r w:rsidRPr="00CD1AA0">
        <w:rPr>
          <w:rFonts w:ascii="Bookman Old Style" w:eastAsia="Times New Roman" w:hAnsi="Bookman Old Style" w:cs="Times New Roman"/>
          <w:b/>
          <w:bCs/>
          <w:i/>
          <w:iCs/>
          <w:color w:val="000000"/>
        </w:rPr>
        <w:t>)</w:t>
      </w:r>
    </w:p>
    <w:p w:rsidR="001272EE" w:rsidRPr="00CD1AA0" w:rsidRDefault="001272EE" w:rsidP="001272EE">
      <w:pPr>
        <w:shd w:val="clear" w:color="auto" w:fill="FFFFFF"/>
        <w:spacing w:after="0" w:line="240" w:lineRule="auto"/>
        <w:jc w:val="center"/>
        <w:outlineLvl w:val="2"/>
        <w:rPr>
          <w:rFonts w:ascii="Bookman Old Style" w:eastAsia="Times New Roman" w:hAnsi="Bookman Old Style" w:cs="Times New Roman"/>
          <w:b/>
          <w:bCs/>
          <w:color w:val="000000"/>
        </w:rPr>
      </w:pPr>
    </w:p>
    <w:p w:rsidR="001272EE" w:rsidRPr="00CD1AA0" w:rsidRDefault="001272EE" w:rsidP="00377212">
      <w:pPr>
        <w:shd w:val="clear" w:color="auto" w:fill="FFFFFF"/>
        <w:spacing w:after="120" w:line="240" w:lineRule="auto"/>
        <w:ind w:left="23"/>
        <w:jc w:val="both"/>
        <w:rPr>
          <w:rFonts w:ascii="Bookman Old Style" w:eastAsia="Times New Roman" w:hAnsi="Bookman Old Style" w:cs="Times New Roman"/>
          <w:color w:val="000000"/>
        </w:rPr>
      </w:pPr>
      <w:r w:rsidRPr="00CD1AA0">
        <w:rPr>
          <w:rFonts w:ascii="Bookman Old Style" w:eastAsia="Times New Roman" w:hAnsi="Bookman Old Style" w:cs="Times New Roman"/>
          <w:color w:val="000000"/>
        </w:rPr>
        <w:t xml:space="preserve">L'articolo in esame, </w:t>
      </w:r>
      <w:r>
        <w:rPr>
          <w:rFonts w:ascii="Bookman Old Style" w:eastAsia="Times New Roman" w:hAnsi="Bookman Old Style" w:cs="Times New Roman"/>
          <w:color w:val="000000"/>
        </w:rPr>
        <w:t xml:space="preserve">approvato in commissione bilancio apporta una modifica </w:t>
      </w:r>
      <w:r w:rsidRPr="00CD1AA0">
        <w:rPr>
          <w:rFonts w:ascii="Bookman Old Style" w:eastAsia="Times New Roman" w:hAnsi="Bookman Old Style" w:cs="Times New Roman"/>
          <w:color w:val="000000"/>
        </w:rPr>
        <w:t xml:space="preserve">all'articolo 57 concernente semplificazione delle procedure in materia di siti di importanza comunitaria. </w:t>
      </w:r>
    </w:p>
    <w:p w:rsidR="001272EE" w:rsidRPr="00CD1AA0" w:rsidRDefault="001272EE" w:rsidP="00377212">
      <w:pPr>
        <w:shd w:val="clear" w:color="auto" w:fill="FFFFFF"/>
        <w:spacing w:after="120" w:line="240" w:lineRule="auto"/>
        <w:ind w:left="23"/>
        <w:jc w:val="both"/>
        <w:rPr>
          <w:rFonts w:ascii="Bookman Old Style" w:eastAsia="Times New Roman" w:hAnsi="Bookman Old Style" w:cs="Times New Roman"/>
          <w:color w:val="000000"/>
        </w:rPr>
      </w:pPr>
      <w:r w:rsidRPr="00CD1AA0">
        <w:rPr>
          <w:rFonts w:ascii="Bookman Old Style" w:eastAsia="Times New Roman" w:hAnsi="Bookman Old Style" w:cs="Times New Roman"/>
          <w:color w:val="000000"/>
        </w:rPr>
        <w:lastRenderedPageBreak/>
        <w:t xml:space="preserve">L'art. 57 stabilisce, al comma 1, che sono effettuate dai </w:t>
      </w:r>
      <w:r w:rsidR="00FA49EC">
        <w:rPr>
          <w:rFonts w:ascii="Bookman Old Style" w:eastAsia="Times New Roman" w:hAnsi="Bookman Old Style" w:cs="Times New Roman"/>
          <w:color w:val="000000"/>
        </w:rPr>
        <w:t>C</w:t>
      </w:r>
      <w:r w:rsidR="00FA49EC" w:rsidRPr="00CD1AA0">
        <w:rPr>
          <w:rFonts w:ascii="Bookman Old Style" w:eastAsia="Times New Roman" w:hAnsi="Bookman Old Style" w:cs="Times New Roman"/>
          <w:color w:val="000000"/>
        </w:rPr>
        <w:t xml:space="preserve">omuni </w:t>
      </w:r>
      <w:r w:rsidRPr="00CD1AA0">
        <w:rPr>
          <w:rFonts w:ascii="Bookman Old Style" w:eastAsia="Times New Roman" w:hAnsi="Bookman Old Style" w:cs="Times New Roman"/>
          <w:color w:val="000000"/>
        </w:rPr>
        <w:t>con popolazione superiore a 20.000 abitanti - nel cui territorio ricade interamente il sito di importanza comunitaria - le valutazioni di incidenza dei seguenti interventi minori: manutenzione straordinaria, restauro e risanamento conservativo, ristrutturazione edilizia, anche con incrementi volumetrici o di superfici coperte inferiori al 20 per cento delle volumetrie o delle superfici coperte esistenti, opere di sistemazione esterne, realizzazione di pertinenze e volumi tecnici. Con la modifica qui proposta si inserisce un nuovo comma 1-</w:t>
      </w:r>
      <w:r w:rsidRPr="00CD1AA0">
        <w:rPr>
          <w:rFonts w:ascii="Bookman Old Style" w:eastAsia="Times New Roman" w:hAnsi="Bookman Old Style" w:cs="Times New Roman"/>
          <w:i/>
          <w:iCs/>
          <w:color w:val="000000"/>
        </w:rPr>
        <w:t>bis</w:t>
      </w:r>
      <w:r w:rsidRPr="00CD1AA0">
        <w:rPr>
          <w:rFonts w:ascii="Bookman Old Style" w:eastAsia="Times New Roman" w:hAnsi="Bookman Old Style" w:cs="Times New Roman"/>
          <w:color w:val="000000"/>
        </w:rPr>
        <w:t xml:space="preserve">: esso prevede che, ai fini di acquisire le necessarie risorse, la competenza per i provvedimenti qui sopra ricordati è esercitata dal </w:t>
      </w:r>
      <w:r w:rsidR="00FA49EC">
        <w:rPr>
          <w:rFonts w:ascii="Bookman Old Style" w:eastAsia="Times New Roman" w:hAnsi="Bookman Old Style" w:cs="Times New Roman"/>
          <w:color w:val="000000"/>
        </w:rPr>
        <w:t>C</w:t>
      </w:r>
      <w:r w:rsidR="00FA49EC" w:rsidRPr="00CD1AA0">
        <w:rPr>
          <w:rFonts w:ascii="Bookman Old Style" w:eastAsia="Times New Roman" w:hAnsi="Bookman Old Style" w:cs="Times New Roman"/>
          <w:color w:val="000000"/>
        </w:rPr>
        <w:t xml:space="preserve">omune </w:t>
      </w:r>
      <w:r w:rsidRPr="00CD1AA0">
        <w:rPr>
          <w:rFonts w:ascii="Bookman Old Style" w:eastAsia="Times New Roman" w:hAnsi="Bookman Old Style" w:cs="Times New Roman"/>
          <w:color w:val="000000"/>
        </w:rPr>
        <w:t xml:space="preserve">sul cui territorio andrebbero eseguiti i suddetti interventi, anche quando il sito ricade sul territorio di più </w:t>
      </w:r>
      <w:r w:rsidR="00FA49EC">
        <w:rPr>
          <w:rFonts w:ascii="Bookman Old Style" w:eastAsia="Times New Roman" w:hAnsi="Bookman Old Style" w:cs="Times New Roman"/>
          <w:color w:val="000000"/>
        </w:rPr>
        <w:t>C</w:t>
      </w:r>
      <w:r w:rsidR="00FA49EC" w:rsidRPr="00CD1AA0">
        <w:rPr>
          <w:rFonts w:ascii="Bookman Old Style" w:eastAsia="Times New Roman" w:hAnsi="Bookman Old Style" w:cs="Times New Roman"/>
          <w:color w:val="000000"/>
        </w:rPr>
        <w:t>omuni</w:t>
      </w:r>
      <w:r w:rsidRPr="00CD1AA0">
        <w:rPr>
          <w:rFonts w:ascii="Bookman Old Style" w:eastAsia="Times New Roman" w:hAnsi="Bookman Old Style" w:cs="Times New Roman"/>
          <w:color w:val="000000"/>
        </w:rPr>
        <w:t>, assicurando l'adeguata competenza nell'effettuazione delle valutazioni.</w:t>
      </w:r>
    </w:p>
    <w:p w:rsidR="001272EE" w:rsidRDefault="001272EE" w:rsidP="00A8109D">
      <w:pPr>
        <w:shd w:val="clear" w:color="auto" w:fill="FFFFFF"/>
        <w:spacing w:after="0" w:line="240" w:lineRule="auto"/>
        <w:jc w:val="center"/>
        <w:outlineLvl w:val="2"/>
        <w:rPr>
          <w:rFonts w:ascii="Bookman Old Style" w:eastAsia="Times New Roman" w:hAnsi="Bookman Old Style" w:cs="Times New Roman"/>
          <w:b/>
          <w:bCs/>
          <w:color w:val="000000"/>
        </w:rPr>
      </w:pPr>
    </w:p>
    <w:p w:rsidR="001272EE" w:rsidRDefault="001272EE" w:rsidP="00A8109D">
      <w:pPr>
        <w:shd w:val="clear" w:color="auto" w:fill="FFFFFF"/>
        <w:spacing w:after="0" w:line="240" w:lineRule="auto"/>
        <w:jc w:val="center"/>
        <w:outlineLvl w:val="2"/>
        <w:rPr>
          <w:rFonts w:ascii="Bookman Old Style" w:eastAsia="Times New Roman" w:hAnsi="Bookman Old Style" w:cs="Times New Roman"/>
          <w:b/>
          <w:bCs/>
          <w:color w:val="000000"/>
        </w:rPr>
      </w:pPr>
    </w:p>
    <w:p w:rsidR="00310751" w:rsidRDefault="00CD1AA0" w:rsidP="00A8109D">
      <w:pPr>
        <w:shd w:val="clear" w:color="auto" w:fill="FFFFFF"/>
        <w:spacing w:after="0" w:line="240" w:lineRule="auto"/>
        <w:jc w:val="center"/>
        <w:outlineLvl w:val="2"/>
        <w:rPr>
          <w:rFonts w:ascii="Bookman Old Style" w:eastAsia="Times New Roman" w:hAnsi="Bookman Old Style" w:cs="Times New Roman"/>
          <w:b/>
          <w:bCs/>
          <w:i/>
          <w:iCs/>
          <w:color w:val="000000"/>
        </w:rPr>
      </w:pPr>
      <w:r w:rsidRPr="00CD1AA0">
        <w:rPr>
          <w:rFonts w:ascii="Bookman Old Style" w:eastAsia="Times New Roman" w:hAnsi="Bookman Old Style" w:cs="Times New Roman"/>
          <w:b/>
          <w:bCs/>
          <w:color w:val="000000"/>
        </w:rPr>
        <w:t>Articolo 17-</w:t>
      </w:r>
      <w:r w:rsidR="001272EE">
        <w:rPr>
          <w:rFonts w:ascii="Bookman Old Style" w:eastAsia="Times New Roman" w:hAnsi="Bookman Old Style" w:cs="Times New Roman"/>
          <w:b/>
          <w:bCs/>
          <w:i/>
          <w:iCs/>
          <w:color w:val="000000"/>
        </w:rPr>
        <w:t>quater</w:t>
      </w:r>
    </w:p>
    <w:p w:rsidR="00CD1AA0" w:rsidRDefault="00CD1AA0" w:rsidP="00A8109D">
      <w:pPr>
        <w:shd w:val="clear" w:color="auto" w:fill="FFFFFF"/>
        <w:spacing w:after="0" w:line="240" w:lineRule="auto"/>
        <w:jc w:val="center"/>
        <w:outlineLvl w:val="2"/>
        <w:rPr>
          <w:rFonts w:ascii="Bookman Old Style" w:eastAsia="Times New Roman" w:hAnsi="Bookman Old Style" w:cs="Times New Roman"/>
          <w:b/>
          <w:bCs/>
          <w:i/>
          <w:iCs/>
          <w:color w:val="000000"/>
        </w:rPr>
      </w:pPr>
      <w:r w:rsidRPr="00CD1AA0">
        <w:rPr>
          <w:rFonts w:ascii="Bookman Old Style" w:eastAsia="Times New Roman" w:hAnsi="Bookman Old Style" w:cs="Times New Roman"/>
          <w:b/>
          <w:bCs/>
          <w:i/>
          <w:iCs/>
          <w:color w:val="000000"/>
        </w:rPr>
        <w:t>(Sostegno alla progettazione degli enti locali)</w:t>
      </w:r>
    </w:p>
    <w:p w:rsidR="00A8109D" w:rsidRPr="00CD1AA0" w:rsidRDefault="00A8109D" w:rsidP="00A8109D">
      <w:pPr>
        <w:shd w:val="clear" w:color="auto" w:fill="FFFFFF"/>
        <w:spacing w:after="0" w:line="240" w:lineRule="auto"/>
        <w:jc w:val="center"/>
        <w:outlineLvl w:val="2"/>
        <w:rPr>
          <w:rFonts w:ascii="Bookman Old Style" w:eastAsia="Times New Roman" w:hAnsi="Bookman Old Style" w:cs="Times New Roman"/>
          <w:b/>
          <w:bCs/>
          <w:color w:val="000000"/>
        </w:rPr>
      </w:pPr>
    </w:p>
    <w:p w:rsidR="00CD1AA0" w:rsidRPr="00CD1AA0" w:rsidRDefault="00CD1AA0" w:rsidP="00377212">
      <w:pPr>
        <w:shd w:val="clear" w:color="auto" w:fill="FFFFFF"/>
        <w:spacing w:after="120" w:line="240" w:lineRule="auto"/>
        <w:ind w:left="23"/>
        <w:jc w:val="both"/>
        <w:rPr>
          <w:rFonts w:ascii="Bookman Old Style" w:eastAsia="Times New Roman" w:hAnsi="Bookman Old Style" w:cs="Times New Roman"/>
          <w:color w:val="000000"/>
        </w:rPr>
      </w:pPr>
      <w:r w:rsidRPr="00CD1AA0">
        <w:rPr>
          <w:rFonts w:ascii="Bookman Old Style" w:eastAsia="Times New Roman" w:hAnsi="Bookman Old Style" w:cs="Times New Roman"/>
          <w:color w:val="000000"/>
        </w:rPr>
        <w:t xml:space="preserve">Il nuovo articolo, </w:t>
      </w:r>
      <w:r w:rsidRPr="00CD1AA0">
        <w:rPr>
          <w:rFonts w:ascii="Bookman Old Style" w:eastAsia="Times New Roman" w:hAnsi="Bookman Old Style" w:cs="Times New Roman"/>
          <w:bCs/>
          <w:color w:val="000000"/>
        </w:rPr>
        <w:t>introdotto con l'approvazione dell</w:t>
      </w:r>
      <w:r w:rsidR="00310751" w:rsidRPr="00310751">
        <w:rPr>
          <w:rFonts w:ascii="Bookman Old Style" w:eastAsia="Times New Roman" w:hAnsi="Bookman Old Style" w:cs="Times New Roman"/>
          <w:bCs/>
          <w:color w:val="000000"/>
        </w:rPr>
        <w:t>’emendamento governativo in commissione bilancio</w:t>
      </w:r>
      <w:r w:rsidRPr="00CD1AA0">
        <w:rPr>
          <w:rFonts w:ascii="Bookman Old Style" w:eastAsia="Times New Roman" w:hAnsi="Bookman Old Style" w:cs="Times New Roman"/>
          <w:color w:val="000000"/>
        </w:rPr>
        <w:t xml:space="preserve">, </w:t>
      </w:r>
      <w:r w:rsidRPr="00CD1AA0">
        <w:rPr>
          <w:rFonts w:ascii="Bookman Old Style" w:eastAsia="Times New Roman" w:hAnsi="Bookman Old Style" w:cs="Times New Roman"/>
          <w:b/>
          <w:color w:val="000000"/>
        </w:rPr>
        <w:t>interviene, al comma 1, sull'articolo 41-bis del D.L. n. 50 del 2017, in materia di Fondo per la progettazione definitiva ed esecutiva nelle zone a rischio sismico,</w:t>
      </w:r>
      <w:r w:rsidRPr="00CD1AA0">
        <w:rPr>
          <w:rFonts w:ascii="Bookman Old Style" w:eastAsia="Times New Roman" w:hAnsi="Bookman Old Style" w:cs="Times New Roman"/>
          <w:color w:val="000000"/>
        </w:rPr>
        <w:t xml:space="preserve"> nonché </w:t>
      </w:r>
      <w:r w:rsidR="00310751">
        <w:rPr>
          <w:rFonts w:ascii="Bookman Old Style" w:eastAsia="Times New Roman" w:hAnsi="Bookman Old Style" w:cs="Times New Roman"/>
          <w:color w:val="000000"/>
        </w:rPr>
        <w:t>–</w:t>
      </w:r>
      <w:r w:rsidRPr="00CD1AA0">
        <w:rPr>
          <w:rFonts w:ascii="Bookman Old Style" w:eastAsia="Times New Roman" w:hAnsi="Bookman Old Style" w:cs="Times New Roman"/>
          <w:color w:val="000000"/>
        </w:rPr>
        <w:t xml:space="preserve"> a</w:t>
      </w:r>
      <w:r w:rsidR="00310751">
        <w:rPr>
          <w:rFonts w:ascii="Bookman Old Style" w:eastAsia="Times New Roman" w:hAnsi="Bookman Old Style" w:cs="Times New Roman"/>
          <w:color w:val="000000"/>
        </w:rPr>
        <w:t xml:space="preserve"> seguito della modifica</w:t>
      </w:r>
      <w:r w:rsidRPr="00CD1AA0">
        <w:rPr>
          <w:rFonts w:ascii="Bookman Old Style" w:eastAsia="Times New Roman" w:hAnsi="Bookman Old Style" w:cs="Times New Roman"/>
          <w:color w:val="000000"/>
        </w:rPr>
        <w:t xml:space="preserve"> </w:t>
      </w:r>
      <w:r w:rsidR="00803A0F">
        <w:rPr>
          <w:rFonts w:ascii="Bookman Old Style" w:eastAsia="Times New Roman" w:hAnsi="Bookman Old Style" w:cs="Times New Roman"/>
          <w:color w:val="000000"/>
        </w:rPr>
        <w:t xml:space="preserve">– </w:t>
      </w:r>
      <w:r w:rsidRPr="00CD1AA0">
        <w:rPr>
          <w:rFonts w:ascii="Bookman Old Style" w:eastAsia="Times New Roman" w:hAnsi="Bookman Old Style" w:cs="Times New Roman"/>
          <w:color w:val="000000"/>
        </w:rPr>
        <w:t xml:space="preserve">per la messa in sicurezza del territorio dal dissesto idrogeologico, estendendo per gli anni 2018 e 2019 il riferimento anche alle </w:t>
      </w:r>
      <w:r w:rsidRPr="00CD1AA0">
        <w:rPr>
          <w:rFonts w:ascii="Bookman Old Style" w:eastAsia="Times New Roman" w:hAnsi="Bookman Old Style" w:cs="Times New Roman"/>
          <w:b/>
          <w:bCs/>
          <w:color w:val="000000"/>
        </w:rPr>
        <w:t>zone a rischio sismico 2</w:t>
      </w:r>
      <w:r w:rsidRPr="00CD1AA0">
        <w:rPr>
          <w:rFonts w:ascii="Bookman Old Style" w:eastAsia="Times New Roman" w:hAnsi="Bookman Old Style" w:cs="Times New Roman"/>
          <w:color w:val="000000"/>
        </w:rPr>
        <w:t xml:space="preserve">, con riguardo ad interventi sia di miglioramento e di adeguamento antisismico di immobili pubblici sia di </w:t>
      </w:r>
      <w:r w:rsidRPr="00CD1AA0">
        <w:rPr>
          <w:rFonts w:ascii="Bookman Old Style" w:eastAsia="Times New Roman" w:hAnsi="Bookman Old Style" w:cs="Times New Roman"/>
          <w:b/>
          <w:bCs/>
          <w:color w:val="000000"/>
        </w:rPr>
        <w:t>messa in sicurezza del territorio dal dissesto idrogeologico</w:t>
      </w:r>
      <w:r w:rsidRPr="00CD1AA0">
        <w:rPr>
          <w:rFonts w:ascii="Bookman Old Style" w:eastAsia="Times New Roman" w:hAnsi="Bookman Old Style" w:cs="Times New Roman"/>
          <w:color w:val="000000"/>
        </w:rPr>
        <w:t xml:space="preserve">, nonché con un innalzamento dei rispettivi limiti di spesa, a </w:t>
      </w:r>
      <w:r w:rsidRPr="00CD1AA0">
        <w:rPr>
          <w:rFonts w:ascii="Bookman Old Style" w:eastAsia="Times New Roman" w:hAnsi="Bookman Old Style" w:cs="Times New Roman"/>
          <w:b/>
          <w:bCs/>
          <w:color w:val="000000"/>
        </w:rPr>
        <w:t>25 milioni per il 2018</w:t>
      </w:r>
      <w:r w:rsidRPr="00CD1AA0">
        <w:rPr>
          <w:rFonts w:ascii="Bookman Old Style" w:eastAsia="Times New Roman" w:hAnsi="Bookman Old Style" w:cs="Times New Roman"/>
          <w:color w:val="000000"/>
        </w:rPr>
        <w:t xml:space="preserve"> e a </w:t>
      </w:r>
      <w:r w:rsidRPr="00CD1AA0">
        <w:rPr>
          <w:rFonts w:ascii="Bookman Old Style" w:eastAsia="Times New Roman" w:hAnsi="Bookman Old Style" w:cs="Times New Roman"/>
          <w:b/>
          <w:bCs/>
          <w:color w:val="000000"/>
        </w:rPr>
        <w:t>30 milioni per il 2019</w:t>
      </w:r>
      <w:r w:rsidRPr="00CD1AA0">
        <w:rPr>
          <w:rFonts w:ascii="Bookman Old Style" w:eastAsia="Times New Roman" w:hAnsi="Bookman Old Style" w:cs="Times New Roman"/>
          <w:color w:val="000000"/>
        </w:rPr>
        <w:t>. La norma interviene in più punti della legislazione vigente, intervenendo sui criteri di priorità e sui requisiti per le richieste di contributo, nonché sul tema della trasmissione alla banca dati delle pubbliche amministrazioni.</w:t>
      </w:r>
    </w:p>
    <w:p w:rsidR="001E34A1" w:rsidRPr="00377212" w:rsidRDefault="001E34A1" w:rsidP="00377212">
      <w:pPr>
        <w:shd w:val="clear" w:color="auto" w:fill="FFFFFF"/>
        <w:spacing w:after="120" w:line="240" w:lineRule="auto"/>
        <w:ind w:left="23"/>
        <w:jc w:val="both"/>
        <w:rPr>
          <w:rFonts w:ascii="Bookman Old Style" w:eastAsia="Times New Roman" w:hAnsi="Bookman Old Style" w:cs="Times New Roman"/>
        </w:rPr>
      </w:pPr>
      <w:r w:rsidRPr="00377212">
        <w:rPr>
          <w:rFonts w:ascii="Bookman Old Style" w:eastAsia="Times New Roman" w:hAnsi="Bookman Old Style" w:cs="Times New Roman"/>
        </w:rPr>
        <w:t>Il comma 3 interviene poi in materia di spazi finanziari, finanziati con avanzo di amministrazione, attribuiti nell’ambito del patto nazionale verticale agli enti locali, disciplinato dal comma 492 della legge di bilancio 2017, inserendo una ulteriore priorità (</w:t>
      </w:r>
      <w:r w:rsidRPr="00377212">
        <w:rPr>
          <w:rFonts w:ascii="Bookman Old Style" w:hAnsi="Bookman Old Style" w:cs="Calibri"/>
        </w:rPr>
        <w:t>successiva a quelle già individuate)</w:t>
      </w:r>
      <w:r w:rsidRPr="00377212">
        <w:rPr>
          <w:rFonts w:ascii="Bookman Old Style" w:eastAsia="Times New Roman" w:hAnsi="Bookman Old Style" w:cs="Times New Roman"/>
        </w:rPr>
        <w:t>, relativa alla progettazione definitiva ed esecutiva di investimenti finalizzati al miglioramento della dotazione infrastrutturale o di recupero degli immobili e delle strutture destinati a servizi per la popolazione.</w:t>
      </w:r>
    </w:p>
    <w:p w:rsidR="00CD1AA0" w:rsidRPr="00CD1AA0" w:rsidRDefault="00310751" w:rsidP="00377212">
      <w:pPr>
        <w:shd w:val="clear" w:color="auto" w:fill="FFFFFF"/>
        <w:spacing w:after="120" w:line="240" w:lineRule="auto"/>
        <w:ind w:left="23"/>
        <w:jc w:val="both"/>
        <w:rPr>
          <w:rFonts w:ascii="Bookman Old Style" w:eastAsia="Times New Roman" w:hAnsi="Bookman Old Style" w:cs="Times New Roman"/>
          <w:color w:val="000000"/>
        </w:rPr>
      </w:pPr>
      <w:r w:rsidRPr="00B816CC">
        <w:rPr>
          <w:rFonts w:ascii="Bookman Old Style" w:eastAsia="Times New Roman" w:hAnsi="Bookman Old Style" w:cs="Times New Roman"/>
          <w:bCs/>
          <w:color w:val="000000"/>
        </w:rPr>
        <w:t>Inoltre</w:t>
      </w:r>
      <w:r>
        <w:rPr>
          <w:rFonts w:ascii="Bookman Old Style" w:eastAsia="Times New Roman" w:hAnsi="Bookman Old Style" w:cs="Times New Roman"/>
          <w:b/>
          <w:bCs/>
          <w:color w:val="000000"/>
        </w:rPr>
        <w:t xml:space="preserve"> </w:t>
      </w:r>
      <w:r w:rsidR="00CD1AA0" w:rsidRPr="00CD1AA0">
        <w:rPr>
          <w:rFonts w:ascii="Bookman Old Style" w:eastAsia="Times New Roman" w:hAnsi="Bookman Old Style" w:cs="Times New Roman"/>
          <w:color w:val="000000"/>
        </w:rPr>
        <w:t xml:space="preserve">sono stati introdotti i commi </w:t>
      </w:r>
      <w:r w:rsidR="001E34A1">
        <w:rPr>
          <w:rFonts w:ascii="Bookman Old Style" w:eastAsia="Times New Roman" w:hAnsi="Bookman Old Style" w:cs="Times New Roman"/>
          <w:color w:val="000000"/>
        </w:rPr>
        <w:t>4</w:t>
      </w:r>
      <w:r w:rsidR="00CD1AA0" w:rsidRPr="00CD1AA0">
        <w:rPr>
          <w:rFonts w:ascii="Bookman Old Style" w:eastAsia="Times New Roman" w:hAnsi="Bookman Old Style" w:cs="Times New Roman"/>
          <w:color w:val="000000"/>
        </w:rPr>
        <w:t xml:space="preserve"> e </w:t>
      </w:r>
      <w:r w:rsidR="001E34A1">
        <w:rPr>
          <w:rFonts w:ascii="Bookman Old Style" w:eastAsia="Times New Roman" w:hAnsi="Bookman Old Style" w:cs="Times New Roman"/>
          <w:color w:val="000000"/>
        </w:rPr>
        <w:t>5</w:t>
      </w:r>
      <w:r w:rsidR="00CD1AA0" w:rsidRPr="00CD1AA0">
        <w:rPr>
          <w:rFonts w:ascii="Bookman Old Style" w:eastAsia="Times New Roman" w:hAnsi="Bookman Old Style" w:cs="Times New Roman"/>
          <w:color w:val="000000"/>
        </w:rPr>
        <w:t xml:space="preserve">. Il </w:t>
      </w:r>
      <w:r w:rsidR="00CD1AA0" w:rsidRPr="00CD1AA0">
        <w:rPr>
          <w:rFonts w:ascii="Bookman Old Style" w:eastAsia="Times New Roman" w:hAnsi="Bookman Old Style" w:cs="Times New Roman"/>
          <w:b/>
          <w:bCs/>
          <w:color w:val="000000"/>
        </w:rPr>
        <w:t xml:space="preserve">comma </w:t>
      </w:r>
      <w:r w:rsidR="001E34A1">
        <w:rPr>
          <w:rFonts w:ascii="Bookman Old Style" w:eastAsia="Times New Roman" w:hAnsi="Bookman Old Style" w:cs="Times New Roman"/>
          <w:b/>
          <w:bCs/>
          <w:color w:val="000000"/>
        </w:rPr>
        <w:t>4</w:t>
      </w:r>
      <w:r w:rsidR="00CD1AA0" w:rsidRPr="00CD1AA0">
        <w:rPr>
          <w:rFonts w:ascii="Bookman Old Style" w:eastAsia="Times New Roman" w:hAnsi="Bookman Old Style" w:cs="Times New Roman"/>
          <w:color w:val="000000"/>
        </w:rPr>
        <w:t xml:space="preserve"> prevede che il Ministero delle infrastrutture e dei trasporti, al fine migliorare la capacità di programmazione e progettazione delle infrastrutture e degli insediamenti prioritari per lo sviluppo del Paese, anche per mezzo di contratti di partenariato pubblico-privati, possa stipulare una convenzione con Cassa depositi e prestiti SpA, che disciplina le attività di supporto e assistenza tecnica connesse all'utilizzo del Fondo istituito dall'articolo 202, comma 1 del Codice degli appalti pubblici e con oneri a carico del Fondo stesso.</w:t>
      </w:r>
    </w:p>
    <w:p w:rsidR="00CD1AA0" w:rsidRPr="00CD1AA0" w:rsidRDefault="00CD1AA0" w:rsidP="00377212">
      <w:pPr>
        <w:shd w:val="clear" w:color="auto" w:fill="FFFFFF"/>
        <w:spacing w:after="120" w:line="240" w:lineRule="auto"/>
        <w:ind w:left="23"/>
        <w:jc w:val="both"/>
        <w:rPr>
          <w:rFonts w:ascii="Bookman Old Style" w:eastAsia="Times New Roman" w:hAnsi="Bookman Old Style" w:cs="Times New Roman"/>
          <w:color w:val="000000"/>
        </w:rPr>
      </w:pPr>
      <w:r w:rsidRPr="00CD1AA0">
        <w:rPr>
          <w:rFonts w:ascii="Bookman Old Style" w:eastAsia="Times New Roman" w:hAnsi="Bookman Old Style" w:cs="Times New Roman"/>
          <w:color w:val="000000"/>
        </w:rPr>
        <w:t xml:space="preserve">Il comma </w:t>
      </w:r>
      <w:r w:rsidR="001E34A1">
        <w:rPr>
          <w:rFonts w:ascii="Bookman Old Style" w:eastAsia="Times New Roman" w:hAnsi="Bookman Old Style" w:cs="Times New Roman"/>
          <w:color w:val="000000"/>
        </w:rPr>
        <w:t>5</w:t>
      </w:r>
      <w:r w:rsidRPr="00CD1AA0">
        <w:rPr>
          <w:rFonts w:ascii="Bookman Old Style" w:eastAsia="Times New Roman" w:hAnsi="Bookman Old Style" w:cs="Times New Roman"/>
          <w:color w:val="000000"/>
        </w:rPr>
        <w:t xml:space="preserve"> prevede che, al fine di garantire che i progetti di fattibilità delle infrastrutture e degli insediamenti prioritari siano coerenti con i Piani Strategici delle Città Metropolitane e con i Piani urbani per la mobilità sostenibile (PUMS), le risorse messe a disposizione dal suddetto Fondo possano essere utilizzate anche per predisporre i connessi strumenti di programmazione.</w:t>
      </w:r>
    </w:p>
    <w:p w:rsidR="00A8109D" w:rsidRDefault="00A8109D" w:rsidP="00CD1AA0">
      <w:pPr>
        <w:shd w:val="clear" w:color="auto" w:fill="FFFFFF"/>
        <w:spacing w:before="100" w:beforeAutospacing="1" w:after="115" w:line="240" w:lineRule="auto"/>
        <w:jc w:val="center"/>
        <w:outlineLvl w:val="2"/>
        <w:rPr>
          <w:rFonts w:ascii="Bookman Old Style" w:eastAsia="Times New Roman" w:hAnsi="Bookman Old Style" w:cs="Times New Roman"/>
          <w:b/>
          <w:bCs/>
          <w:color w:val="000000"/>
        </w:rPr>
      </w:pPr>
    </w:p>
    <w:p w:rsidR="00377212" w:rsidRDefault="00377212">
      <w:pPr>
        <w:rPr>
          <w:rFonts w:ascii="Bookman Old Style" w:eastAsia="Times New Roman" w:hAnsi="Bookman Old Style" w:cs="Times New Roman"/>
          <w:b/>
          <w:bCs/>
          <w:color w:val="000000"/>
        </w:rPr>
      </w:pPr>
      <w:r>
        <w:rPr>
          <w:rFonts w:ascii="Bookman Old Style" w:eastAsia="Times New Roman" w:hAnsi="Bookman Old Style" w:cs="Times New Roman"/>
          <w:b/>
          <w:bCs/>
          <w:color w:val="000000"/>
        </w:rPr>
        <w:br w:type="page"/>
      </w:r>
    </w:p>
    <w:p w:rsidR="00310751" w:rsidRDefault="00CD1AA0" w:rsidP="00A8109D">
      <w:pPr>
        <w:shd w:val="clear" w:color="auto" w:fill="FFFFFF"/>
        <w:spacing w:after="0" w:line="240" w:lineRule="auto"/>
        <w:jc w:val="center"/>
        <w:outlineLvl w:val="2"/>
        <w:rPr>
          <w:rFonts w:ascii="Bookman Old Style" w:eastAsia="Times New Roman" w:hAnsi="Bookman Old Style" w:cs="Times New Roman"/>
          <w:b/>
          <w:bCs/>
          <w:i/>
          <w:iCs/>
          <w:color w:val="000000"/>
        </w:rPr>
      </w:pPr>
      <w:r w:rsidRPr="00CD1AA0">
        <w:rPr>
          <w:rFonts w:ascii="Bookman Old Style" w:eastAsia="Times New Roman" w:hAnsi="Bookman Old Style" w:cs="Times New Roman"/>
          <w:b/>
          <w:bCs/>
          <w:color w:val="000000"/>
        </w:rPr>
        <w:lastRenderedPageBreak/>
        <w:t>Articolo 18-</w:t>
      </w:r>
      <w:r w:rsidR="001272EE">
        <w:rPr>
          <w:rFonts w:ascii="Bookman Old Style" w:eastAsia="Times New Roman" w:hAnsi="Bookman Old Style" w:cs="Times New Roman"/>
          <w:b/>
          <w:bCs/>
          <w:i/>
          <w:iCs/>
          <w:color w:val="000000"/>
        </w:rPr>
        <w:t>ter</w:t>
      </w:r>
    </w:p>
    <w:p w:rsidR="00CD1AA0" w:rsidRDefault="00CD1AA0" w:rsidP="00A8109D">
      <w:pPr>
        <w:shd w:val="clear" w:color="auto" w:fill="FFFFFF"/>
        <w:spacing w:after="0" w:line="240" w:lineRule="auto"/>
        <w:jc w:val="center"/>
        <w:outlineLvl w:val="2"/>
        <w:rPr>
          <w:rFonts w:ascii="Bookman Old Style" w:eastAsia="Times New Roman" w:hAnsi="Bookman Old Style" w:cs="Times New Roman"/>
          <w:b/>
          <w:bCs/>
          <w:i/>
          <w:iCs/>
          <w:color w:val="000000"/>
        </w:rPr>
      </w:pPr>
      <w:r w:rsidRPr="00CD1AA0">
        <w:rPr>
          <w:rFonts w:ascii="Bookman Old Style" w:eastAsia="Times New Roman" w:hAnsi="Bookman Old Style" w:cs="Times New Roman"/>
          <w:b/>
          <w:bCs/>
          <w:i/>
          <w:iCs/>
          <w:color w:val="000000"/>
        </w:rPr>
        <w:t>(</w:t>
      </w:r>
      <w:r w:rsidR="00FD7255">
        <w:rPr>
          <w:rFonts w:ascii="Bookman Old Style" w:eastAsia="Times New Roman" w:hAnsi="Bookman Old Style" w:cs="Times New Roman"/>
          <w:b/>
          <w:bCs/>
          <w:i/>
          <w:iCs/>
          <w:color w:val="000000"/>
        </w:rPr>
        <w:t>Misure indifferibili di semplificazione degli adempimenti vaccinali per l’iscrizione alle istituzioni del sistema nazionale di istruzione, ai servizi educativi per l’infanzia, ai centri di formazione professionale regionale e alle scuole paritarie</w:t>
      </w:r>
      <w:r w:rsidRPr="00CD1AA0">
        <w:rPr>
          <w:rFonts w:ascii="Bookman Old Style" w:eastAsia="Times New Roman" w:hAnsi="Bookman Old Style" w:cs="Times New Roman"/>
          <w:b/>
          <w:bCs/>
          <w:i/>
          <w:iCs/>
          <w:color w:val="000000"/>
        </w:rPr>
        <w:t>)</w:t>
      </w:r>
    </w:p>
    <w:p w:rsidR="00A8109D" w:rsidRPr="00CD1AA0" w:rsidRDefault="00A8109D" w:rsidP="00A8109D">
      <w:pPr>
        <w:shd w:val="clear" w:color="auto" w:fill="FFFFFF"/>
        <w:spacing w:after="0" w:line="240" w:lineRule="auto"/>
        <w:jc w:val="center"/>
        <w:outlineLvl w:val="2"/>
        <w:rPr>
          <w:rFonts w:ascii="Bookman Old Style" w:eastAsia="Times New Roman" w:hAnsi="Bookman Old Style" w:cs="Times New Roman"/>
          <w:b/>
          <w:bCs/>
          <w:color w:val="000000"/>
        </w:rPr>
      </w:pPr>
    </w:p>
    <w:p w:rsidR="00CD1AA0" w:rsidRPr="00CD1AA0" w:rsidRDefault="00CD1AA0" w:rsidP="00377212">
      <w:pPr>
        <w:shd w:val="clear" w:color="auto" w:fill="FFFFFF"/>
        <w:spacing w:after="120" w:line="240" w:lineRule="auto"/>
        <w:ind w:left="23"/>
        <w:jc w:val="both"/>
        <w:rPr>
          <w:rFonts w:ascii="Bookman Old Style" w:eastAsia="Times New Roman" w:hAnsi="Bookman Old Style" w:cs="Times New Roman"/>
          <w:color w:val="000000"/>
        </w:rPr>
      </w:pPr>
      <w:r w:rsidRPr="00CD1AA0">
        <w:rPr>
          <w:rFonts w:ascii="Bookman Old Style" w:eastAsia="Times New Roman" w:hAnsi="Bookman Old Style" w:cs="Times New Roman"/>
          <w:color w:val="000000"/>
        </w:rPr>
        <w:t>L'</w:t>
      </w:r>
      <w:r w:rsidR="00310751">
        <w:rPr>
          <w:rFonts w:ascii="Bookman Old Style" w:eastAsia="Times New Roman" w:hAnsi="Bookman Old Style" w:cs="Times New Roman"/>
          <w:color w:val="000000"/>
        </w:rPr>
        <w:t>articolo introdotto dalla commissione bilancio</w:t>
      </w:r>
      <w:r w:rsidRPr="00CD1AA0">
        <w:rPr>
          <w:rFonts w:ascii="Bookman Old Style" w:eastAsia="Times New Roman" w:hAnsi="Bookman Old Style" w:cs="Times New Roman"/>
          <w:b/>
          <w:bCs/>
          <w:color w:val="000000"/>
        </w:rPr>
        <w:t xml:space="preserve"> </w:t>
      </w:r>
      <w:r w:rsidRPr="00CD1AA0">
        <w:rPr>
          <w:rFonts w:ascii="Bookman Old Style" w:eastAsia="Times New Roman" w:hAnsi="Bookman Old Style" w:cs="Times New Roman"/>
          <w:color w:val="000000"/>
        </w:rPr>
        <w:t xml:space="preserve">propone </w:t>
      </w:r>
      <w:r w:rsidRPr="00CD1AA0">
        <w:rPr>
          <w:rFonts w:ascii="Bookman Old Style" w:eastAsia="Times New Roman" w:hAnsi="Bookman Old Style" w:cs="Times New Roman"/>
          <w:b/>
          <w:bCs/>
          <w:color w:val="000000"/>
        </w:rPr>
        <w:t xml:space="preserve">di modificare la disciplina sulle procedure connesse agli obblighi di vaccinazione, </w:t>
      </w:r>
      <w:r w:rsidRPr="00CD1AA0">
        <w:rPr>
          <w:rFonts w:ascii="Bookman Old Style" w:eastAsia="Times New Roman" w:hAnsi="Bookman Old Style" w:cs="Times New Roman"/>
          <w:color w:val="000000"/>
        </w:rPr>
        <w:t xml:space="preserve">relative alle aziende sanitarie locali, nonché ai servizi educativi per l'infanzia, alle scuole ed ai centri di formazione professionale regionale. </w:t>
      </w:r>
    </w:p>
    <w:p w:rsidR="00CD1AA0" w:rsidRPr="00733CDB" w:rsidRDefault="00CD1AA0" w:rsidP="00377212">
      <w:pPr>
        <w:spacing w:after="120" w:line="240" w:lineRule="auto"/>
        <w:rPr>
          <w:rFonts w:ascii="Bookman Old Style" w:hAnsi="Bookman Old Style"/>
        </w:rPr>
      </w:pPr>
    </w:p>
    <w:p w:rsidR="00377212" w:rsidRDefault="00377212" w:rsidP="00A8109D">
      <w:pPr>
        <w:shd w:val="clear" w:color="auto" w:fill="FFFFFF"/>
        <w:spacing w:after="0" w:line="240" w:lineRule="auto"/>
        <w:jc w:val="center"/>
        <w:outlineLvl w:val="2"/>
        <w:rPr>
          <w:rFonts w:ascii="Bookman Old Style" w:eastAsia="Times New Roman" w:hAnsi="Bookman Old Style" w:cs="Times New Roman"/>
          <w:b/>
          <w:bCs/>
          <w:color w:val="000000"/>
        </w:rPr>
      </w:pPr>
    </w:p>
    <w:p w:rsidR="00310751" w:rsidRDefault="00CD1AA0" w:rsidP="00A8109D">
      <w:pPr>
        <w:shd w:val="clear" w:color="auto" w:fill="FFFFFF"/>
        <w:spacing w:after="0" w:line="240" w:lineRule="auto"/>
        <w:jc w:val="center"/>
        <w:outlineLvl w:val="2"/>
        <w:rPr>
          <w:rFonts w:ascii="Bookman Old Style" w:eastAsia="Times New Roman" w:hAnsi="Bookman Old Style" w:cs="Times New Roman"/>
          <w:b/>
          <w:bCs/>
          <w:i/>
          <w:iCs/>
          <w:color w:val="000000"/>
        </w:rPr>
      </w:pPr>
      <w:r w:rsidRPr="00CD1AA0">
        <w:rPr>
          <w:rFonts w:ascii="Bookman Old Style" w:eastAsia="Times New Roman" w:hAnsi="Bookman Old Style" w:cs="Times New Roman"/>
          <w:b/>
          <w:bCs/>
          <w:color w:val="000000"/>
        </w:rPr>
        <w:t>Articolo 19-</w:t>
      </w:r>
      <w:r w:rsidRPr="00CD1AA0">
        <w:rPr>
          <w:rFonts w:ascii="Bookman Old Style" w:eastAsia="Times New Roman" w:hAnsi="Bookman Old Style" w:cs="Times New Roman"/>
          <w:b/>
          <w:bCs/>
          <w:i/>
          <w:iCs/>
          <w:color w:val="000000"/>
        </w:rPr>
        <w:t>bis</w:t>
      </w:r>
    </w:p>
    <w:p w:rsidR="00CD1AA0" w:rsidRDefault="00CD1AA0" w:rsidP="00A8109D">
      <w:pPr>
        <w:shd w:val="clear" w:color="auto" w:fill="FFFFFF"/>
        <w:spacing w:after="0" w:line="240" w:lineRule="auto"/>
        <w:jc w:val="center"/>
        <w:outlineLvl w:val="2"/>
        <w:rPr>
          <w:rFonts w:ascii="Bookman Old Style" w:eastAsia="Times New Roman" w:hAnsi="Bookman Old Style" w:cs="Times New Roman"/>
          <w:b/>
          <w:bCs/>
          <w:i/>
          <w:iCs/>
          <w:color w:val="000000"/>
        </w:rPr>
      </w:pPr>
      <w:r w:rsidRPr="00CD1AA0">
        <w:rPr>
          <w:rFonts w:ascii="Bookman Old Style" w:eastAsia="Times New Roman" w:hAnsi="Bookman Old Style" w:cs="Times New Roman"/>
          <w:b/>
          <w:bCs/>
          <w:i/>
          <w:iCs/>
          <w:color w:val="000000"/>
        </w:rPr>
        <w:t>(Disposizioni in materia di uscita dei minori di 14 anni dai locali scolastici)</w:t>
      </w:r>
    </w:p>
    <w:p w:rsidR="00A8109D" w:rsidRPr="00CD1AA0" w:rsidRDefault="00A8109D" w:rsidP="00A8109D">
      <w:pPr>
        <w:shd w:val="clear" w:color="auto" w:fill="FFFFFF"/>
        <w:spacing w:after="0" w:line="240" w:lineRule="auto"/>
        <w:jc w:val="center"/>
        <w:outlineLvl w:val="2"/>
        <w:rPr>
          <w:rFonts w:ascii="Bookman Old Style" w:eastAsia="Times New Roman" w:hAnsi="Bookman Old Style" w:cs="Times New Roman"/>
          <w:b/>
          <w:bCs/>
          <w:color w:val="000000"/>
        </w:rPr>
      </w:pPr>
    </w:p>
    <w:p w:rsidR="00CD1AA0" w:rsidRPr="00CD1AA0" w:rsidRDefault="00CD1AA0" w:rsidP="00377212">
      <w:pPr>
        <w:shd w:val="clear" w:color="auto" w:fill="FFFFFF"/>
        <w:spacing w:after="120" w:line="240" w:lineRule="auto"/>
        <w:ind w:left="23"/>
        <w:jc w:val="both"/>
        <w:rPr>
          <w:rFonts w:ascii="Bookman Old Style" w:eastAsia="Times New Roman" w:hAnsi="Bookman Old Style" w:cs="Times New Roman"/>
          <w:color w:val="000000"/>
        </w:rPr>
      </w:pPr>
      <w:r w:rsidRPr="00CD1AA0">
        <w:rPr>
          <w:rFonts w:ascii="Bookman Old Style" w:eastAsia="Times New Roman" w:hAnsi="Bookman Old Style" w:cs="Times New Roman"/>
          <w:color w:val="000000"/>
        </w:rPr>
        <w:t>L'articolo 19-</w:t>
      </w:r>
      <w:r w:rsidRPr="00CD1AA0">
        <w:rPr>
          <w:rFonts w:ascii="Bookman Old Style" w:eastAsia="Times New Roman" w:hAnsi="Bookman Old Style" w:cs="Times New Roman"/>
          <w:i/>
          <w:iCs/>
          <w:color w:val="000000"/>
        </w:rPr>
        <w:t>bis</w:t>
      </w:r>
      <w:r w:rsidRPr="00CD1AA0">
        <w:rPr>
          <w:rFonts w:ascii="Bookman Old Style" w:eastAsia="Times New Roman" w:hAnsi="Bookman Old Style" w:cs="Times New Roman"/>
          <w:color w:val="000000"/>
        </w:rPr>
        <w:t xml:space="preserve"> - introdotto dalla Commissione </w:t>
      </w:r>
      <w:r w:rsidR="00310751">
        <w:rPr>
          <w:rFonts w:ascii="Bookman Old Style" w:eastAsia="Times New Roman" w:hAnsi="Bookman Old Style" w:cs="Times New Roman"/>
          <w:color w:val="000000"/>
        </w:rPr>
        <w:t>bilancio</w:t>
      </w:r>
      <w:r w:rsidRPr="00CD1AA0">
        <w:rPr>
          <w:rFonts w:ascii="Bookman Old Style" w:eastAsia="Times New Roman" w:hAnsi="Bookman Old Style" w:cs="Times New Roman"/>
          <w:color w:val="000000"/>
        </w:rPr>
        <w:t xml:space="preserve"> interviene sulla disciplina relativa all'autorizzazione dei minori di 14 anni all'uscita autonoma dai locali scolastici al termine dell'orario delle lezioni. </w:t>
      </w:r>
    </w:p>
    <w:p w:rsidR="00CD1AA0" w:rsidRPr="00CD1AA0" w:rsidRDefault="00310751" w:rsidP="00377212">
      <w:pPr>
        <w:shd w:val="clear" w:color="auto" w:fill="FFFFFF"/>
        <w:spacing w:after="120" w:line="240" w:lineRule="auto"/>
        <w:ind w:left="23"/>
        <w:jc w:val="both"/>
        <w:rPr>
          <w:rFonts w:ascii="Bookman Old Style" w:eastAsia="Times New Roman" w:hAnsi="Bookman Old Style" w:cs="Times New Roman"/>
          <w:color w:val="000000"/>
        </w:rPr>
      </w:pPr>
      <w:r>
        <w:rPr>
          <w:rFonts w:ascii="Bookman Old Style" w:eastAsia="Times New Roman" w:hAnsi="Bookman Old Style" w:cs="Times New Roman"/>
          <w:color w:val="000000"/>
        </w:rPr>
        <w:t xml:space="preserve">Al comma 1 si prevede che </w:t>
      </w:r>
      <w:r w:rsidR="00CD1AA0" w:rsidRPr="00CD1AA0">
        <w:rPr>
          <w:rFonts w:ascii="Bookman Old Style" w:eastAsia="Times New Roman" w:hAnsi="Bookman Old Style" w:cs="Times New Roman"/>
          <w:color w:val="000000"/>
        </w:rPr>
        <w:t xml:space="preserve">i </w:t>
      </w:r>
      <w:r w:rsidR="00CD1AA0" w:rsidRPr="00CD1AA0">
        <w:rPr>
          <w:rFonts w:ascii="Bookman Old Style" w:eastAsia="Times New Roman" w:hAnsi="Bookman Old Style" w:cs="Times New Roman"/>
          <w:b/>
          <w:bCs/>
          <w:color w:val="000000"/>
        </w:rPr>
        <w:t>genitori</w:t>
      </w:r>
      <w:r w:rsidR="00CD1AA0" w:rsidRPr="00CD1AA0">
        <w:rPr>
          <w:rFonts w:ascii="Bookman Old Style" w:eastAsia="Times New Roman" w:hAnsi="Bookman Old Style" w:cs="Times New Roman"/>
          <w:color w:val="000000"/>
        </w:rPr>
        <w:t xml:space="preserve"> esercenti la responsabilità genitoriale, i </w:t>
      </w:r>
      <w:r w:rsidR="00CD1AA0" w:rsidRPr="00CD1AA0">
        <w:rPr>
          <w:rFonts w:ascii="Bookman Old Style" w:eastAsia="Times New Roman" w:hAnsi="Bookman Old Style" w:cs="Times New Roman"/>
          <w:b/>
          <w:bCs/>
          <w:color w:val="000000"/>
        </w:rPr>
        <w:t>tutori</w:t>
      </w:r>
      <w:r w:rsidR="00CD1AA0" w:rsidRPr="00CD1AA0">
        <w:rPr>
          <w:rFonts w:ascii="Bookman Old Style" w:eastAsia="Times New Roman" w:hAnsi="Bookman Old Style" w:cs="Times New Roman"/>
          <w:color w:val="000000"/>
        </w:rPr>
        <w:t xml:space="preserve"> e i soggetti </w:t>
      </w:r>
      <w:r w:rsidR="00CD1AA0" w:rsidRPr="00CD1AA0">
        <w:rPr>
          <w:rFonts w:ascii="Bookman Old Style" w:eastAsia="Times New Roman" w:hAnsi="Bookman Old Style" w:cs="Times New Roman"/>
          <w:b/>
          <w:bCs/>
          <w:color w:val="000000"/>
        </w:rPr>
        <w:t>affidatari</w:t>
      </w:r>
      <w:r w:rsidR="00CD1AA0" w:rsidRPr="00CD1AA0">
        <w:rPr>
          <w:rFonts w:ascii="Bookman Old Style" w:eastAsia="Times New Roman" w:hAnsi="Bookman Old Style" w:cs="Times New Roman"/>
          <w:color w:val="000000"/>
        </w:rPr>
        <w:t xml:space="preserve"> ai sensi della L. 184/1983, dei </w:t>
      </w:r>
      <w:r w:rsidR="00CD1AA0" w:rsidRPr="00CD1AA0">
        <w:rPr>
          <w:rFonts w:ascii="Bookman Old Style" w:eastAsia="Times New Roman" w:hAnsi="Bookman Old Style" w:cs="Times New Roman"/>
          <w:b/>
          <w:bCs/>
          <w:color w:val="000000"/>
        </w:rPr>
        <w:t>minori di 14 anni</w:t>
      </w:r>
      <w:r w:rsidR="00CD1AA0" w:rsidRPr="00CD1AA0">
        <w:rPr>
          <w:rFonts w:ascii="Bookman Old Style" w:eastAsia="Times New Roman" w:hAnsi="Bookman Old Style" w:cs="Times New Roman"/>
          <w:color w:val="000000"/>
        </w:rPr>
        <w:t>, in considerazione dell'</w:t>
      </w:r>
      <w:r w:rsidR="00CD1AA0" w:rsidRPr="00CD1AA0">
        <w:rPr>
          <w:rFonts w:ascii="Bookman Old Style" w:eastAsia="Times New Roman" w:hAnsi="Bookman Old Style" w:cs="Times New Roman"/>
          <w:b/>
          <w:bCs/>
          <w:color w:val="000000"/>
        </w:rPr>
        <w:t>età</w:t>
      </w:r>
      <w:r w:rsidR="00CD1AA0" w:rsidRPr="00CD1AA0">
        <w:rPr>
          <w:rFonts w:ascii="Bookman Old Style" w:eastAsia="Times New Roman" w:hAnsi="Bookman Old Style" w:cs="Times New Roman"/>
          <w:color w:val="000000"/>
        </w:rPr>
        <w:t xml:space="preserve"> di questi ultimi, del loro grado di </w:t>
      </w:r>
      <w:r w:rsidR="00CD1AA0" w:rsidRPr="00CD1AA0">
        <w:rPr>
          <w:rFonts w:ascii="Bookman Old Style" w:eastAsia="Times New Roman" w:hAnsi="Bookman Old Style" w:cs="Times New Roman"/>
          <w:b/>
          <w:bCs/>
          <w:color w:val="000000"/>
        </w:rPr>
        <w:t>autonomia</w:t>
      </w:r>
      <w:r w:rsidR="00CD1AA0" w:rsidRPr="00CD1AA0">
        <w:rPr>
          <w:rFonts w:ascii="Bookman Old Style" w:eastAsia="Times New Roman" w:hAnsi="Bookman Old Style" w:cs="Times New Roman"/>
          <w:color w:val="000000"/>
        </w:rPr>
        <w:t xml:space="preserve"> e dello specifico </w:t>
      </w:r>
      <w:r w:rsidR="00CD1AA0" w:rsidRPr="00CD1AA0">
        <w:rPr>
          <w:rFonts w:ascii="Bookman Old Style" w:eastAsia="Times New Roman" w:hAnsi="Bookman Old Style" w:cs="Times New Roman"/>
          <w:b/>
          <w:bCs/>
          <w:color w:val="000000"/>
        </w:rPr>
        <w:t>contesto</w:t>
      </w:r>
      <w:r w:rsidR="00CD1AA0" w:rsidRPr="00CD1AA0">
        <w:rPr>
          <w:rFonts w:ascii="Bookman Old Style" w:eastAsia="Times New Roman" w:hAnsi="Bookman Old Style" w:cs="Times New Roman"/>
          <w:color w:val="000000"/>
        </w:rPr>
        <w:t xml:space="preserve">, nell'ambito di un processo di loro </w:t>
      </w:r>
      <w:proofErr w:type="spellStart"/>
      <w:r w:rsidR="00CD1AA0" w:rsidRPr="00CD1AA0">
        <w:rPr>
          <w:rFonts w:ascii="Bookman Old Style" w:eastAsia="Times New Roman" w:hAnsi="Bookman Old Style" w:cs="Times New Roman"/>
          <w:b/>
          <w:bCs/>
          <w:color w:val="000000"/>
        </w:rPr>
        <w:t>autoresponsabilizzazione</w:t>
      </w:r>
      <w:proofErr w:type="spellEnd"/>
      <w:r w:rsidR="00CD1AA0" w:rsidRPr="00CD1AA0">
        <w:rPr>
          <w:rFonts w:ascii="Bookman Old Style" w:eastAsia="Times New Roman" w:hAnsi="Bookman Old Style" w:cs="Times New Roman"/>
          <w:color w:val="000000"/>
        </w:rPr>
        <w:t xml:space="preserve">, possono </w:t>
      </w:r>
      <w:r w:rsidR="00CD1AA0" w:rsidRPr="00CD1AA0">
        <w:rPr>
          <w:rFonts w:ascii="Bookman Old Style" w:eastAsia="Times New Roman" w:hAnsi="Bookman Old Style" w:cs="Times New Roman"/>
          <w:b/>
          <w:bCs/>
          <w:color w:val="000000"/>
        </w:rPr>
        <w:t>autorizzare</w:t>
      </w:r>
      <w:r w:rsidR="00CD1AA0" w:rsidRPr="00CD1AA0">
        <w:rPr>
          <w:rFonts w:ascii="Bookman Old Style" w:eastAsia="Times New Roman" w:hAnsi="Bookman Old Style" w:cs="Times New Roman"/>
          <w:color w:val="000000"/>
        </w:rPr>
        <w:t xml:space="preserve"> le istituzioni del sistema nazionale di istruzione a consentire l'</w:t>
      </w:r>
      <w:r w:rsidR="00CD1AA0" w:rsidRPr="00CD1AA0">
        <w:rPr>
          <w:rFonts w:ascii="Bookman Old Style" w:eastAsia="Times New Roman" w:hAnsi="Bookman Old Style" w:cs="Times New Roman"/>
          <w:b/>
          <w:bCs/>
          <w:color w:val="000000"/>
        </w:rPr>
        <w:t>uscita autonoma</w:t>
      </w:r>
      <w:r w:rsidR="00CD1AA0" w:rsidRPr="00CD1AA0">
        <w:rPr>
          <w:rFonts w:ascii="Bookman Old Style" w:eastAsia="Times New Roman" w:hAnsi="Bookman Old Style" w:cs="Times New Roman"/>
          <w:color w:val="000000"/>
        </w:rPr>
        <w:t xml:space="preserve"> dei minori di 14 anni dai locali scolastici al termine dell'orario delle lezioni. L'autorizzazione </w:t>
      </w:r>
      <w:r w:rsidR="00CD1AA0" w:rsidRPr="00CD1AA0">
        <w:rPr>
          <w:rFonts w:ascii="Bookman Old Style" w:eastAsia="Times New Roman" w:hAnsi="Bookman Old Style" w:cs="Times New Roman"/>
          <w:b/>
          <w:bCs/>
          <w:color w:val="000000"/>
        </w:rPr>
        <w:t>esonera</w:t>
      </w:r>
      <w:r w:rsidR="00CD1AA0" w:rsidRPr="00CD1AA0">
        <w:rPr>
          <w:rFonts w:ascii="Bookman Old Style" w:eastAsia="Times New Roman" w:hAnsi="Bookman Old Style" w:cs="Times New Roman"/>
          <w:color w:val="000000"/>
        </w:rPr>
        <w:t xml:space="preserve"> il personale scolastico dalla responsabilità connessa all'adempimento dell'</w:t>
      </w:r>
      <w:r w:rsidR="00CD1AA0" w:rsidRPr="00CD1AA0">
        <w:rPr>
          <w:rFonts w:ascii="Bookman Old Style" w:eastAsia="Times New Roman" w:hAnsi="Bookman Old Style" w:cs="Times New Roman"/>
          <w:b/>
          <w:bCs/>
          <w:color w:val="000000"/>
        </w:rPr>
        <w:t>obbligo di vigilanza</w:t>
      </w:r>
      <w:r w:rsidR="00CD1AA0" w:rsidRPr="00CD1AA0">
        <w:rPr>
          <w:rFonts w:ascii="Bookman Old Style" w:eastAsia="Times New Roman" w:hAnsi="Bookman Old Style" w:cs="Times New Roman"/>
          <w:color w:val="000000"/>
        </w:rPr>
        <w:t>.</w:t>
      </w:r>
    </w:p>
    <w:p w:rsidR="00CD1AA0" w:rsidRPr="00CD1AA0" w:rsidRDefault="00CD1AA0" w:rsidP="00377212">
      <w:pPr>
        <w:shd w:val="clear" w:color="auto" w:fill="FFFFFF"/>
        <w:spacing w:after="120" w:line="240" w:lineRule="auto"/>
        <w:ind w:left="23"/>
        <w:jc w:val="both"/>
        <w:rPr>
          <w:rFonts w:ascii="Bookman Old Style" w:eastAsia="Times New Roman" w:hAnsi="Bookman Old Style" w:cs="Times New Roman"/>
          <w:color w:val="000000"/>
        </w:rPr>
      </w:pPr>
      <w:r w:rsidRPr="00CD1AA0">
        <w:rPr>
          <w:rFonts w:ascii="Bookman Old Style" w:eastAsia="Times New Roman" w:hAnsi="Bookman Old Style" w:cs="Times New Roman"/>
          <w:color w:val="000000"/>
        </w:rPr>
        <w:t xml:space="preserve">In base al </w:t>
      </w:r>
      <w:r w:rsidRPr="00CD1AA0">
        <w:rPr>
          <w:rFonts w:ascii="Bookman Old Style" w:eastAsia="Times New Roman" w:hAnsi="Bookman Old Style" w:cs="Times New Roman"/>
          <w:b/>
          <w:bCs/>
          <w:color w:val="000000"/>
        </w:rPr>
        <w:t>comma 2</w:t>
      </w:r>
      <w:r w:rsidRPr="00CD1AA0">
        <w:rPr>
          <w:rFonts w:ascii="Bookman Old Style" w:eastAsia="Times New Roman" w:hAnsi="Bookman Old Style" w:cs="Times New Roman"/>
          <w:color w:val="000000"/>
        </w:rPr>
        <w:t>, l'</w:t>
      </w:r>
      <w:r w:rsidRPr="00CD1AA0">
        <w:rPr>
          <w:rFonts w:ascii="Bookman Old Style" w:eastAsia="Times New Roman" w:hAnsi="Bookman Old Style" w:cs="Times New Roman"/>
          <w:b/>
          <w:bCs/>
          <w:color w:val="000000"/>
        </w:rPr>
        <w:t>autorizzazione</w:t>
      </w:r>
      <w:r w:rsidRPr="00CD1AA0">
        <w:rPr>
          <w:rFonts w:ascii="Bookman Old Style" w:eastAsia="Times New Roman" w:hAnsi="Bookman Old Style" w:cs="Times New Roman"/>
          <w:color w:val="000000"/>
        </w:rPr>
        <w:t xml:space="preserve"> ad usufruire in modo autonomo del servizio di </w:t>
      </w:r>
      <w:r w:rsidRPr="00CD1AA0">
        <w:rPr>
          <w:rFonts w:ascii="Bookman Old Style" w:eastAsia="Times New Roman" w:hAnsi="Bookman Old Style" w:cs="Times New Roman"/>
          <w:b/>
          <w:bCs/>
          <w:color w:val="000000"/>
        </w:rPr>
        <w:t>trasporto scolastico</w:t>
      </w:r>
      <w:r w:rsidRPr="00CD1AA0">
        <w:rPr>
          <w:rFonts w:ascii="Bookman Old Style" w:eastAsia="Times New Roman" w:hAnsi="Bookman Old Style" w:cs="Times New Roman"/>
          <w:color w:val="000000"/>
        </w:rPr>
        <w:t xml:space="preserve">, rilasciata dai genitori esercenti la responsabilità genitoriale e dai tutori dei minori di 14 anni agli </w:t>
      </w:r>
      <w:r w:rsidRPr="00CD1AA0">
        <w:rPr>
          <w:rFonts w:ascii="Bookman Old Style" w:eastAsia="Times New Roman" w:hAnsi="Bookman Old Style" w:cs="Times New Roman"/>
          <w:b/>
          <w:bCs/>
          <w:color w:val="000000"/>
        </w:rPr>
        <w:t>enti locali gestori del servizio</w:t>
      </w:r>
      <w:r w:rsidRPr="00CD1AA0">
        <w:rPr>
          <w:rFonts w:ascii="Bookman Old Style" w:eastAsia="Times New Roman" w:hAnsi="Bookman Old Style" w:cs="Times New Roman"/>
          <w:color w:val="000000"/>
        </w:rPr>
        <w:t xml:space="preserve"> esonera dalla responsabilità connessa all'adempimento dell'</w:t>
      </w:r>
      <w:r w:rsidRPr="00CD1AA0">
        <w:rPr>
          <w:rFonts w:ascii="Bookman Old Style" w:eastAsia="Times New Roman" w:hAnsi="Bookman Old Style" w:cs="Times New Roman"/>
          <w:b/>
          <w:bCs/>
          <w:color w:val="000000"/>
        </w:rPr>
        <w:t>obbligo di vigilanza</w:t>
      </w:r>
      <w:r w:rsidRPr="00CD1AA0">
        <w:rPr>
          <w:rFonts w:ascii="Bookman Old Style" w:eastAsia="Times New Roman" w:hAnsi="Bookman Old Style" w:cs="Times New Roman"/>
          <w:color w:val="000000"/>
        </w:rPr>
        <w:t xml:space="preserve"> nella salita e discesa dal mezzo e nel tempo di sosta alla fermata utilizzata, anche al ritorno dalle attività scolastiche.</w:t>
      </w:r>
    </w:p>
    <w:p w:rsidR="00CD1AA0" w:rsidRPr="00733CDB" w:rsidRDefault="00CD1AA0">
      <w:pPr>
        <w:rPr>
          <w:rFonts w:ascii="Bookman Old Style" w:hAnsi="Bookman Old Style"/>
        </w:rPr>
      </w:pPr>
    </w:p>
    <w:p w:rsidR="00310751" w:rsidRDefault="00CD1AA0" w:rsidP="00A8109D">
      <w:pPr>
        <w:shd w:val="clear" w:color="auto" w:fill="FFFFFF"/>
        <w:spacing w:after="0" w:line="240" w:lineRule="auto"/>
        <w:jc w:val="center"/>
        <w:outlineLvl w:val="2"/>
        <w:rPr>
          <w:rFonts w:ascii="Bookman Old Style" w:eastAsia="Times New Roman" w:hAnsi="Bookman Old Style" w:cs="Times New Roman"/>
          <w:b/>
          <w:bCs/>
          <w:i/>
          <w:iCs/>
          <w:color w:val="000000"/>
        </w:rPr>
      </w:pPr>
      <w:r w:rsidRPr="00CD1AA0">
        <w:rPr>
          <w:rFonts w:ascii="Bookman Old Style" w:eastAsia="Times New Roman" w:hAnsi="Bookman Old Style" w:cs="Times New Roman"/>
          <w:b/>
          <w:bCs/>
          <w:color w:val="000000"/>
        </w:rPr>
        <w:t>Articolo 19-</w:t>
      </w:r>
      <w:r w:rsidR="001272EE">
        <w:rPr>
          <w:rFonts w:ascii="Bookman Old Style" w:eastAsia="Times New Roman" w:hAnsi="Bookman Old Style" w:cs="Times New Roman"/>
          <w:b/>
          <w:bCs/>
          <w:i/>
          <w:iCs/>
          <w:color w:val="000000"/>
        </w:rPr>
        <w:t>octies</w:t>
      </w:r>
    </w:p>
    <w:p w:rsidR="00CD1AA0" w:rsidRDefault="00CD1AA0" w:rsidP="00A8109D">
      <w:pPr>
        <w:shd w:val="clear" w:color="auto" w:fill="FFFFFF"/>
        <w:spacing w:after="0" w:line="240" w:lineRule="auto"/>
        <w:jc w:val="center"/>
        <w:outlineLvl w:val="2"/>
        <w:rPr>
          <w:rFonts w:ascii="Bookman Old Style" w:eastAsia="Times New Roman" w:hAnsi="Bookman Old Style" w:cs="Times New Roman"/>
          <w:b/>
          <w:bCs/>
          <w:i/>
          <w:iCs/>
          <w:color w:val="000000"/>
        </w:rPr>
      </w:pPr>
      <w:r w:rsidRPr="00CD1AA0">
        <w:rPr>
          <w:rFonts w:ascii="Bookman Old Style" w:eastAsia="Times New Roman" w:hAnsi="Bookman Old Style" w:cs="Times New Roman"/>
          <w:b/>
          <w:bCs/>
          <w:i/>
          <w:iCs/>
          <w:color w:val="000000"/>
        </w:rPr>
        <w:t>(Disposizioni in materia di riscossione)</w:t>
      </w:r>
    </w:p>
    <w:p w:rsidR="00A8109D" w:rsidRPr="00CD1AA0" w:rsidRDefault="00A8109D" w:rsidP="00A8109D">
      <w:pPr>
        <w:shd w:val="clear" w:color="auto" w:fill="FFFFFF"/>
        <w:spacing w:after="0" w:line="240" w:lineRule="auto"/>
        <w:jc w:val="center"/>
        <w:outlineLvl w:val="2"/>
        <w:rPr>
          <w:rFonts w:ascii="Bookman Old Style" w:eastAsia="Times New Roman" w:hAnsi="Bookman Old Style" w:cs="Times New Roman"/>
          <w:b/>
          <w:bCs/>
          <w:color w:val="000000"/>
        </w:rPr>
      </w:pPr>
    </w:p>
    <w:p w:rsidR="00CD1AA0" w:rsidRPr="00CD1AA0" w:rsidRDefault="00CD1AA0" w:rsidP="00377212">
      <w:pPr>
        <w:shd w:val="clear" w:color="auto" w:fill="FFFFFF"/>
        <w:spacing w:after="120" w:line="240" w:lineRule="auto"/>
        <w:ind w:left="23"/>
        <w:jc w:val="both"/>
        <w:rPr>
          <w:rFonts w:ascii="Bookman Old Style" w:eastAsia="Times New Roman" w:hAnsi="Bookman Old Style" w:cs="Times New Roman"/>
          <w:color w:val="000000"/>
        </w:rPr>
      </w:pPr>
      <w:r w:rsidRPr="00CD1AA0">
        <w:rPr>
          <w:rFonts w:ascii="Bookman Old Style" w:eastAsia="Times New Roman" w:hAnsi="Bookman Old Style" w:cs="Times New Roman"/>
          <w:b/>
          <w:bCs/>
          <w:color w:val="000000"/>
        </w:rPr>
        <w:t>L’articolo 19-</w:t>
      </w:r>
      <w:r w:rsidRPr="00CD1AA0">
        <w:rPr>
          <w:rFonts w:ascii="Bookman Old Style" w:eastAsia="Times New Roman" w:hAnsi="Bookman Old Style" w:cs="Times New Roman"/>
          <w:b/>
          <w:bCs/>
          <w:i/>
          <w:iCs/>
          <w:color w:val="000000"/>
        </w:rPr>
        <w:t>bis</w:t>
      </w:r>
      <w:r w:rsidRPr="00CD1AA0">
        <w:rPr>
          <w:rFonts w:ascii="Bookman Old Style" w:eastAsia="Times New Roman" w:hAnsi="Bookman Old Style" w:cs="Times New Roman"/>
          <w:i/>
          <w:iCs/>
          <w:color w:val="000000"/>
        </w:rPr>
        <w:t xml:space="preserve">, </w:t>
      </w:r>
      <w:r w:rsidRPr="00CD1AA0">
        <w:rPr>
          <w:rFonts w:ascii="Bookman Old Style" w:eastAsia="Times New Roman" w:hAnsi="Bookman Old Style" w:cs="Times New Roman"/>
          <w:b/>
          <w:bCs/>
          <w:color w:val="000000"/>
        </w:rPr>
        <w:t>introdotto</w:t>
      </w:r>
      <w:r w:rsidRPr="00CD1AA0">
        <w:rPr>
          <w:rFonts w:ascii="Bookman Old Style" w:eastAsia="Times New Roman" w:hAnsi="Bookman Old Style" w:cs="Times New Roman"/>
          <w:color w:val="000000"/>
        </w:rPr>
        <w:t xml:space="preserve"> nel corso dell’esame in </w:t>
      </w:r>
      <w:r w:rsidRPr="00CD1AA0">
        <w:rPr>
          <w:rFonts w:ascii="Bookman Old Style" w:eastAsia="Times New Roman" w:hAnsi="Bookman Old Style" w:cs="Times New Roman"/>
          <w:bCs/>
          <w:color w:val="000000"/>
        </w:rPr>
        <w:t>Commissione</w:t>
      </w:r>
      <w:r w:rsidR="00310751" w:rsidRPr="00310751">
        <w:rPr>
          <w:rFonts w:ascii="Bookman Old Style" w:eastAsia="Times New Roman" w:hAnsi="Bookman Old Style" w:cs="Times New Roman"/>
          <w:bCs/>
          <w:color w:val="000000"/>
        </w:rPr>
        <w:t xml:space="preserve"> bilancio</w:t>
      </w:r>
      <w:r w:rsidRPr="00CD1AA0">
        <w:rPr>
          <w:rFonts w:ascii="Bookman Old Style" w:eastAsia="Times New Roman" w:hAnsi="Bookman Old Style" w:cs="Times New Roman"/>
          <w:color w:val="000000"/>
        </w:rPr>
        <w:t xml:space="preserve">, reca </w:t>
      </w:r>
      <w:r w:rsidRPr="00CD1AA0">
        <w:rPr>
          <w:rFonts w:ascii="Bookman Old Style" w:eastAsia="Times New Roman" w:hAnsi="Bookman Old Style" w:cs="Times New Roman"/>
          <w:b/>
          <w:bCs/>
          <w:color w:val="000000"/>
        </w:rPr>
        <w:t xml:space="preserve">disposizioni </w:t>
      </w:r>
      <w:r w:rsidRPr="00CD1AA0">
        <w:rPr>
          <w:rFonts w:ascii="Bookman Old Style" w:eastAsia="Times New Roman" w:hAnsi="Bookman Old Style" w:cs="Times New Roman"/>
          <w:color w:val="000000"/>
        </w:rPr>
        <w:t xml:space="preserve">eterogenee in materia di adempimenti dei contribuenti ed attività di </w:t>
      </w:r>
      <w:r w:rsidRPr="00CD1AA0">
        <w:rPr>
          <w:rFonts w:ascii="Bookman Old Style" w:eastAsia="Times New Roman" w:hAnsi="Bookman Old Style" w:cs="Times New Roman"/>
          <w:b/>
          <w:bCs/>
          <w:color w:val="000000"/>
        </w:rPr>
        <w:t>accertamento e riscossione</w:t>
      </w:r>
      <w:r w:rsidRPr="00CD1AA0">
        <w:rPr>
          <w:rFonts w:ascii="Bookman Old Style" w:eastAsia="Times New Roman" w:hAnsi="Bookman Old Style" w:cs="Times New Roman"/>
          <w:color w:val="000000"/>
        </w:rPr>
        <w:t>.</w:t>
      </w:r>
    </w:p>
    <w:p w:rsidR="00CD1AA0" w:rsidRPr="00CD1AA0" w:rsidRDefault="00CD1AA0" w:rsidP="00377212">
      <w:pPr>
        <w:shd w:val="clear" w:color="auto" w:fill="FFFFFF"/>
        <w:spacing w:after="120" w:line="240" w:lineRule="auto"/>
        <w:ind w:left="23"/>
        <w:jc w:val="both"/>
        <w:rPr>
          <w:rFonts w:ascii="Bookman Old Style" w:eastAsia="Times New Roman" w:hAnsi="Bookman Old Style" w:cs="Times New Roman"/>
          <w:color w:val="000000"/>
        </w:rPr>
      </w:pPr>
      <w:r w:rsidRPr="00CD1AA0">
        <w:rPr>
          <w:rFonts w:ascii="Bookman Old Style" w:eastAsia="Times New Roman" w:hAnsi="Bookman Old Style" w:cs="Times New Roman"/>
          <w:color w:val="000000"/>
        </w:rPr>
        <w:t>In particolare</w:t>
      </w:r>
      <w:r w:rsidR="00803A0F">
        <w:rPr>
          <w:rFonts w:ascii="Bookman Old Style" w:eastAsia="Times New Roman" w:hAnsi="Bookman Old Style" w:cs="Times New Roman"/>
          <w:color w:val="000000"/>
        </w:rPr>
        <w:t>, la norma</w:t>
      </w:r>
      <w:r w:rsidRPr="00CD1AA0">
        <w:rPr>
          <w:rFonts w:ascii="Bookman Old Style" w:eastAsia="Times New Roman" w:hAnsi="Bookman Old Style" w:cs="Times New Roman"/>
          <w:color w:val="000000"/>
        </w:rPr>
        <w:t>:</w:t>
      </w:r>
    </w:p>
    <w:p w:rsidR="00CD1AA0" w:rsidRPr="00CD1AA0" w:rsidRDefault="00CD1AA0" w:rsidP="00377212">
      <w:pPr>
        <w:numPr>
          <w:ilvl w:val="0"/>
          <w:numId w:val="10"/>
        </w:numPr>
        <w:shd w:val="clear" w:color="auto" w:fill="FFFFFF"/>
        <w:spacing w:after="120" w:line="240" w:lineRule="auto"/>
        <w:ind w:left="284" w:hanging="284"/>
        <w:jc w:val="both"/>
        <w:rPr>
          <w:rFonts w:ascii="Bookman Old Style" w:eastAsia="Times New Roman" w:hAnsi="Bookman Old Style" w:cs="Times New Roman"/>
          <w:color w:val="000000"/>
        </w:rPr>
      </w:pPr>
      <w:r w:rsidRPr="00CD1AA0">
        <w:rPr>
          <w:rFonts w:ascii="Bookman Old Style" w:eastAsia="Times New Roman" w:hAnsi="Bookman Old Style" w:cs="Times New Roman"/>
          <w:color w:val="000000"/>
        </w:rPr>
        <w:t xml:space="preserve">chiarisce che il </w:t>
      </w:r>
      <w:r w:rsidRPr="00CD1AA0">
        <w:rPr>
          <w:rFonts w:ascii="Bookman Old Style" w:eastAsia="Times New Roman" w:hAnsi="Bookman Old Style" w:cs="Times New Roman"/>
          <w:b/>
          <w:bCs/>
          <w:color w:val="000000"/>
        </w:rPr>
        <w:t>Ministero dell’Economia</w:t>
      </w:r>
      <w:r w:rsidRPr="00CD1AA0">
        <w:rPr>
          <w:rFonts w:ascii="Bookman Old Style" w:eastAsia="Times New Roman" w:hAnsi="Bookman Old Style" w:cs="Times New Roman"/>
          <w:color w:val="000000"/>
        </w:rPr>
        <w:t xml:space="preserve"> e delle finanze esercita la </w:t>
      </w:r>
      <w:r w:rsidRPr="00CD1AA0">
        <w:rPr>
          <w:rFonts w:ascii="Bookman Old Style" w:eastAsia="Times New Roman" w:hAnsi="Bookman Old Style" w:cs="Times New Roman"/>
          <w:b/>
          <w:bCs/>
          <w:color w:val="000000"/>
        </w:rPr>
        <w:t>vigilanza</w:t>
      </w:r>
      <w:r w:rsidRPr="00CD1AA0">
        <w:rPr>
          <w:rFonts w:ascii="Bookman Old Style" w:eastAsia="Times New Roman" w:hAnsi="Bookman Old Style" w:cs="Times New Roman"/>
          <w:color w:val="000000"/>
        </w:rPr>
        <w:t xml:space="preserve"> sull’operato dell’ente </w:t>
      </w:r>
      <w:r w:rsidRPr="00CD1AA0">
        <w:rPr>
          <w:rFonts w:ascii="Bookman Old Style" w:eastAsia="Times New Roman" w:hAnsi="Bookman Old Style" w:cs="Times New Roman"/>
          <w:b/>
          <w:bCs/>
          <w:color w:val="000000"/>
        </w:rPr>
        <w:t>Agenzia delle entrate-Riscossione</w:t>
      </w:r>
      <w:r w:rsidRPr="00CD1AA0">
        <w:rPr>
          <w:rFonts w:ascii="Bookman Old Style" w:eastAsia="Times New Roman" w:hAnsi="Bookman Old Style" w:cs="Times New Roman"/>
          <w:color w:val="000000"/>
        </w:rPr>
        <w:t xml:space="preserve"> in relazione alla garanzia della trasparenza, dell'imparzialità e della correttezza nell'applicazione delle norme, con particolare riguardo ai rapporti con i contribuenti (</w:t>
      </w:r>
      <w:r w:rsidRPr="00CD1AA0">
        <w:rPr>
          <w:rFonts w:ascii="Bookman Old Style" w:eastAsia="Times New Roman" w:hAnsi="Bookman Old Style" w:cs="Times New Roman"/>
          <w:b/>
          <w:bCs/>
          <w:color w:val="000000"/>
        </w:rPr>
        <w:t>comma 1</w:t>
      </w:r>
      <w:r w:rsidRPr="00CD1AA0">
        <w:rPr>
          <w:rFonts w:ascii="Bookman Old Style" w:eastAsia="Times New Roman" w:hAnsi="Bookman Old Style" w:cs="Times New Roman"/>
          <w:color w:val="000000"/>
        </w:rPr>
        <w:t>);</w:t>
      </w:r>
    </w:p>
    <w:p w:rsidR="00CD1AA0" w:rsidRPr="003C3BA7" w:rsidRDefault="00CD1AA0" w:rsidP="00377212">
      <w:pPr>
        <w:numPr>
          <w:ilvl w:val="0"/>
          <w:numId w:val="10"/>
        </w:numPr>
        <w:shd w:val="clear" w:color="auto" w:fill="FFFFFF"/>
        <w:tabs>
          <w:tab w:val="clear" w:pos="720"/>
        </w:tabs>
        <w:spacing w:after="120" w:line="240" w:lineRule="auto"/>
        <w:ind w:left="284" w:hanging="284"/>
        <w:jc w:val="both"/>
        <w:rPr>
          <w:rFonts w:ascii="Bookman Old Style" w:eastAsia="Times New Roman" w:hAnsi="Bookman Old Style" w:cs="Times New Roman"/>
          <w:color w:val="000000"/>
        </w:rPr>
      </w:pPr>
      <w:r w:rsidRPr="003C3BA7">
        <w:rPr>
          <w:rFonts w:ascii="Bookman Old Style" w:eastAsia="Times New Roman" w:hAnsi="Bookman Old Style" w:cs="Times New Roman"/>
          <w:color w:val="000000"/>
        </w:rPr>
        <w:t xml:space="preserve">dispone che, ove la </w:t>
      </w:r>
      <w:r w:rsidRPr="003C3BA7">
        <w:rPr>
          <w:rFonts w:ascii="Bookman Old Style" w:eastAsia="Times New Roman" w:hAnsi="Bookman Old Style" w:cs="Times New Roman"/>
          <w:b/>
          <w:bCs/>
          <w:color w:val="000000"/>
        </w:rPr>
        <w:t>notifica della cartella di pagamento sia effettuata dai messi comunali o dagli agenti della polizia municipale</w:t>
      </w:r>
      <w:r w:rsidRPr="003C3BA7">
        <w:rPr>
          <w:rFonts w:ascii="Bookman Old Style" w:eastAsia="Times New Roman" w:hAnsi="Bookman Old Style" w:cs="Times New Roman"/>
          <w:color w:val="000000"/>
        </w:rPr>
        <w:t xml:space="preserve">, se per il perfezionamento della notifica sono necessarie più formalità, queste possono essere </w:t>
      </w:r>
      <w:r w:rsidRPr="003C3BA7">
        <w:rPr>
          <w:rFonts w:ascii="Bookman Old Style" w:eastAsia="Times New Roman" w:hAnsi="Bookman Old Style" w:cs="Times New Roman"/>
          <w:b/>
          <w:bCs/>
          <w:color w:val="000000"/>
        </w:rPr>
        <w:t>compiute</w:t>
      </w:r>
      <w:r w:rsidRPr="003C3BA7">
        <w:rPr>
          <w:rFonts w:ascii="Bookman Old Style" w:eastAsia="Times New Roman" w:hAnsi="Bookman Old Style" w:cs="Times New Roman"/>
          <w:color w:val="000000"/>
        </w:rPr>
        <w:t xml:space="preserve"> </w:t>
      </w:r>
      <w:r w:rsidRPr="003C3BA7">
        <w:rPr>
          <w:rFonts w:ascii="Bookman Old Style" w:eastAsia="Times New Roman" w:hAnsi="Bookman Old Style" w:cs="Times New Roman"/>
          <w:b/>
          <w:bCs/>
          <w:color w:val="000000"/>
        </w:rPr>
        <w:t>da soggetti diversi</w:t>
      </w:r>
      <w:r w:rsidRPr="003C3BA7">
        <w:rPr>
          <w:rFonts w:ascii="Bookman Old Style" w:eastAsia="Times New Roman" w:hAnsi="Bookman Old Style" w:cs="Times New Roman"/>
          <w:color w:val="000000"/>
        </w:rPr>
        <w:t>, alle condizioni previste dalla norma</w:t>
      </w:r>
      <w:r w:rsidR="003C3BA7" w:rsidRPr="003C3BA7">
        <w:rPr>
          <w:rFonts w:ascii="Bookman Old Style" w:eastAsia="Times New Roman" w:hAnsi="Bookman Old Style" w:cs="Times New Roman"/>
          <w:color w:val="000000"/>
        </w:rPr>
        <w:t xml:space="preserve"> (un periodo di tempo non superiore a trenta giorni e certifica</w:t>
      </w:r>
      <w:r w:rsidR="003C3BA7" w:rsidRPr="00A87077">
        <w:rPr>
          <w:rFonts w:ascii="Bookman Old Style" w:eastAsia="Times New Roman" w:hAnsi="Bookman Old Style" w:cs="Times New Roman"/>
          <w:color w:val="000000"/>
        </w:rPr>
        <w:t>zione dell'attività svolta</w:t>
      </w:r>
      <w:r w:rsidR="003C3BA7" w:rsidRPr="006B71B1">
        <w:rPr>
          <w:rFonts w:ascii="Bookman Old Style" w:eastAsia="Times New Roman" w:hAnsi="Bookman Old Style" w:cs="Times New Roman"/>
          <w:color w:val="000000"/>
        </w:rPr>
        <w:t xml:space="preserve"> mediante relazione datata e sottoscritta</w:t>
      </w:r>
      <w:r w:rsidRPr="003C3BA7">
        <w:rPr>
          <w:rFonts w:ascii="Bookman Old Style" w:eastAsia="Times New Roman" w:hAnsi="Bookman Old Style" w:cs="Times New Roman"/>
          <w:color w:val="000000"/>
        </w:rPr>
        <w:t xml:space="preserve"> </w:t>
      </w:r>
      <w:r w:rsidR="006B71B1">
        <w:rPr>
          <w:rFonts w:ascii="Bookman Old Style" w:eastAsia="Times New Roman" w:hAnsi="Bookman Old Style" w:cs="Times New Roman"/>
          <w:color w:val="000000"/>
        </w:rPr>
        <w:t>-</w:t>
      </w:r>
      <w:r w:rsidRPr="003C3BA7">
        <w:rPr>
          <w:rFonts w:ascii="Bookman Old Style" w:eastAsia="Times New Roman" w:hAnsi="Bookman Old Style" w:cs="Times New Roman"/>
          <w:b/>
          <w:bCs/>
          <w:color w:val="000000"/>
        </w:rPr>
        <w:t>comma 2</w:t>
      </w:r>
      <w:r w:rsidRPr="003C3BA7">
        <w:rPr>
          <w:rFonts w:ascii="Bookman Old Style" w:eastAsia="Times New Roman" w:hAnsi="Bookman Old Style" w:cs="Times New Roman"/>
          <w:color w:val="000000"/>
        </w:rPr>
        <w:t>);</w:t>
      </w:r>
    </w:p>
    <w:p w:rsidR="00CD1AA0" w:rsidRPr="00CD1AA0" w:rsidRDefault="00CD1AA0" w:rsidP="00377212">
      <w:pPr>
        <w:numPr>
          <w:ilvl w:val="0"/>
          <w:numId w:val="10"/>
        </w:numPr>
        <w:shd w:val="clear" w:color="auto" w:fill="FFFFFF"/>
        <w:spacing w:after="120" w:line="240" w:lineRule="auto"/>
        <w:ind w:left="284" w:hanging="284"/>
        <w:jc w:val="both"/>
        <w:rPr>
          <w:rFonts w:ascii="Bookman Old Style" w:eastAsia="Times New Roman" w:hAnsi="Bookman Old Style" w:cs="Times New Roman"/>
          <w:color w:val="000000"/>
        </w:rPr>
      </w:pPr>
      <w:r w:rsidRPr="00CD1AA0">
        <w:rPr>
          <w:rFonts w:ascii="Bookman Old Style" w:eastAsia="Times New Roman" w:hAnsi="Bookman Old Style" w:cs="Times New Roman"/>
          <w:color w:val="000000"/>
        </w:rPr>
        <w:lastRenderedPageBreak/>
        <w:t xml:space="preserve">chiarisce che Agenzia delle entrate-Riscossione rientra nel novero degli enti che sono tenuti a </w:t>
      </w:r>
      <w:r w:rsidRPr="00CD1AA0">
        <w:rPr>
          <w:rFonts w:ascii="Bookman Old Style" w:eastAsia="Times New Roman" w:hAnsi="Bookman Old Style" w:cs="Times New Roman"/>
          <w:b/>
          <w:bCs/>
          <w:color w:val="000000"/>
        </w:rPr>
        <w:t>completare</w:t>
      </w:r>
      <w:r w:rsidRPr="00CD1AA0">
        <w:rPr>
          <w:rFonts w:ascii="Bookman Old Style" w:eastAsia="Times New Roman" w:hAnsi="Bookman Old Style" w:cs="Times New Roman"/>
          <w:color w:val="000000"/>
        </w:rPr>
        <w:t xml:space="preserve"> le procedure per </w:t>
      </w:r>
      <w:r w:rsidRPr="00CD1AA0">
        <w:rPr>
          <w:rFonts w:ascii="Bookman Old Style" w:eastAsia="Times New Roman" w:hAnsi="Bookman Old Style" w:cs="Times New Roman"/>
          <w:b/>
          <w:bCs/>
          <w:color w:val="000000"/>
        </w:rPr>
        <w:t>l'esecuzione dei provvedimenti giurisdizionali</w:t>
      </w:r>
      <w:r w:rsidRPr="00CD1AA0">
        <w:rPr>
          <w:rFonts w:ascii="Bookman Old Style" w:eastAsia="Times New Roman" w:hAnsi="Bookman Old Style" w:cs="Times New Roman"/>
          <w:color w:val="000000"/>
        </w:rPr>
        <w:t xml:space="preserve"> e dei </w:t>
      </w:r>
      <w:r w:rsidRPr="00CD1AA0">
        <w:rPr>
          <w:rFonts w:ascii="Bookman Old Style" w:eastAsia="Times New Roman" w:hAnsi="Bookman Old Style" w:cs="Times New Roman"/>
          <w:b/>
          <w:bCs/>
          <w:color w:val="000000"/>
        </w:rPr>
        <w:t>lodi arbitrali</w:t>
      </w:r>
      <w:r w:rsidRPr="00CD1AA0">
        <w:rPr>
          <w:rFonts w:ascii="Bookman Old Style" w:eastAsia="Times New Roman" w:hAnsi="Bookman Old Style" w:cs="Times New Roman"/>
          <w:color w:val="000000"/>
        </w:rPr>
        <w:t xml:space="preserve"> con efficacia esecutiva e che comportano il </w:t>
      </w:r>
      <w:r w:rsidRPr="00CD1AA0">
        <w:rPr>
          <w:rFonts w:ascii="Bookman Old Style" w:eastAsia="Times New Roman" w:hAnsi="Bookman Old Style" w:cs="Times New Roman"/>
          <w:b/>
          <w:bCs/>
          <w:color w:val="000000"/>
        </w:rPr>
        <w:t>pagamento di denaro</w:t>
      </w:r>
      <w:r w:rsidRPr="00CD1AA0">
        <w:rPr>
          <w:rFonts w:ascii="Bookman Old Style" w:eastAsia="Times New Roman" w:hAnsi="Bookman Old Style" w:cs="Times New Roman"/>
          <w:color w:val="000000"/>
        </w:rPr>
        <w:t xml:space="preserve"> entro </w:t>
      </w:r>
      <w:r w:rsidRPr="00CD1AA0">
        <w:rPr>
          <w:rFonts w:ascii="Bookman Old Style" w:eastAsia="Times New Roman" w:hAnsi="Bookman Old Style" w:cs="Times New Roman"/>
          <w:b/>
          <w:bCs/>
          <w:color w:val="000000"/>
        </w:rPr>
        <w:t>120 giorni dalla notifica del titolo esecutivo (comma 3);</w:t>
      </w:r>
    </w:p>
    <w:p w:rsidR="00CD1AA0" w:rsidRPr="00CD1AA0" w:rsidRDefault="00CD1AA0" w:rsidP="00377212">
      <w:pPr>
        <w:numPr>
          <w:ilvl w:val="0"/>
          <w:numId w:val="10"/>
        </w:numPr>
        <w:shd w:val="clear" w:color="auto" w:fill="FFFFFF"/>
        <w:spacing w:after="120" w:line="240" w:lineRule="auto"/>
        <w:ind w:left="284" w:hanging="284"/>
        <w:jc w:val="both"/>
        <w:rPr>
          <w:rFonts w:ascii="Bookman Old Style" w:eastAsia="Times New Roman" w:hAnsi="Bookman Old Style" w:cs="Times New Roman"/>
          <w:color w:val="000000"/>
        </w:rPr>
      </w:pPr>
      <w:r w:rsidRPr="00CD1AA0">
        <w:rPr>
          <w:rFonts w:ascii="Bookman Old Style" w:eastAsia="Times New Roman" w:hAnsi="Bookman Old Style" w:cs="Times New Roman"/>
          <w:color w:val="000000"/>
        </w:rPr>
        <w:t xml:space="preserve">consente, in specifiche ipotesi e condizioni, di </w:t>
      </w:r>
      <w:r w:rsidRPr="00CD1AA0">
        <w:rPr>
          <w:rFonts w:ascii="Bookman Old Style" w:eastAsia="Times New Roman" w:hAnsi="Bookman Old Style" w:cs="Times New Roman"/>
          <w:b/>
          <w:bCs/>
          <w:color w:val="000000"/>
        </w:rPr>
        <w:t>posticipare</w:t>
      </w:r>
      <w:r w:rsidRPr="00CD1AA0">
        <w:rPr>
          <w:rFonts w:ascii="Bookman Old Style" w:eastAsia="Times New Roman" w:hAnsi="Bookman Old Style" w:cs="Times New Roman"/>
          <w:color w:val="000000"/>
        </w:rPr>
        <w:t xml:space="preserve"> i </w:t>
      </w:r>
      <w:r w:rsidRPr="00CD1AA0">
        <w:rPr>
          <w:rFonts w:ascii="Bookman Old Style" w:eastAsia="Times New Roman" w:hAnsi="Bookman Old Style" w:cs="Times New Roman"/>
          <w:b/>
          <w:bCs/>
          <w:color w:val="000000"/>
        </w:rPr>
        <w:t>termini</w:t>
      </w:r>
      <w:r w:rsidRPr="00CD1AA0">
        <w:rPr>
          <w:rFonts w:ascii="Bookman Old Style" w:eastAsia="Times New Roman" w:hAnsi="Bookman Old Style" w:cs="Times New Roman"/>
          <w:color w:val="000000"/>
        </w:rPr>
        <w:t xml:space="preserve"> per </w:t>
      </w:r>
      <w:r w:rsidRPr="00CD1AA0">
        <w:rPr>
          <w:rFonts w:ascii="Bookman Old Style" w:eastAsia="Times New Roman" w:hAnsi="Bookman Old Style" w:cs="Times New Roman"/>
          <w:b/>
          <w:bCs/>
          <w:color w:val="000000"/>
        </w:rPr>
        <w:t xml:space="preserve">l’adempimento degli obblighi </w:t>
      </w:r>
      <w:r w:rsidRPr="00CD1AA0">
        <w:rPr>
          <w:rFonts w:ascii="Bookman Old Style" w:eastAsia="Times New Roman" w:hAnsi="Bookman Old Style" w:cs="Times New Roman"/>
          <w:color w:val="000000"/>
        </w:rPr>
        <w:t>comunicativi e dichiarativi mediante provvedimento del Direttore dell’Agenzia delle entrate (</w:t>
      </w:r>
      <w:r w:rsidRPr="00CD1AA0">
        <w:rPr>
          <w:rFonts w:ascii="Bookman Old Style" w:eastAsia="Times New Roman" w:hAnsi="Bookman Old Style" w:cs="Times New Roman"/>
          <w:b/>
          <w:bCs/>
          <w:color w:val="000000"/>
        </w:rPr>
        <w:t>commi 4 e 5</w:t>
      </w:r>
      <w:r w:rsidRPr="00CD1AA0">
        <w:rPr>
          <w:rFonts w:ascii="Bookman Old Style" w:eastAsia="Times New Roman" w:hAnsi="Bookman Old Style" w:cs="Times New Roman"/>
          <w:color w:val="000000"/>
        </w:rPr>
        <w:t>);</w:t>
      </w:r>
    </w:p>
    <w:p w:rsidR="00CD1AA0" w:rsidRPr="00CD1AA0" w:rsidRDefault="00CD1AA0" w:rsidP="00377212">
      <w:pPr>
        <w:numPr>
          <w:ilvl w:val="0"/>
          <w:numId w:val="10"/>
        </w:numPr>
        <w:shd w:val="clear" w:color="auto" w:fill="FFFFFF"/>
        <w:spacing w:after="120" w:line="240" w:lineRule="auto"/>
        <w:ind w:left="284" w:hanging="284"/>
        <w:jc w:val="both"/>
        <w:rPr>
          <w:rFonts w:ascii="Bookman Old Style" w:eastAsia="Times New Roman" w:hAnsi="Bookman Old Style" w:cs="Times New Roman"/>
          <w:color w:val="000000"/>
        </w:rPr>
      </w:pPr>
      <w:r w:rsidRPr="00CD1AA0">
        <w:rPr>
          <w:rFonts w:ascii="Bookman Old Style" w:eastAsia="Times New Roman" w:hAnsi="Bookman Old Style" w:cs="Times New Roman"/>
          <w:color w:val="000000"/>
        </w:rPr>
        <w:t xml:space="preserve">qualifica come </w:t>
      </w:r>
      <w:r w:rsidRPr="00CD1AA0">
        <w:rPr>
          <w:rFonts w:ascii="Bookman Old Style" w:eastAsia="Times New Roman" w:hAnsi="Bookman Old Style" w:cs="Times New Roman"/>
          <w:b/>
          <w:bCs/>
          <w:color w:val="000000"/>
        </w:rPr>
        <w:t>regolari</w:t>
      </w:r>
      <w:r w:rsidRPr="00CD1AA0">
        <w:rPr>
          <w:rFonts w:ascii="Bookman Old Style" w:eastAsia="Times New Roman" w:hAnsi="Bookman Old Style" w:cs="Times New Roman"/>
          <w:color w:val="000000"/>
        </w:rPr>
        <w:t xml:space="preserve"> i </w:t>
      </w:r>
      <w:r w:rsidRPr="00CD1AA0">
        <w:rPr>
          <w:rFonts w:ascii="Bookman Old Style" w:eastAsia="Times New Roman" w:hAnsi="Bookman Old Style" w:cs="Times New Roman"/>
          <w:b/>
          <w:bCs/>
          <w:color w:val="000000"/>
        </w:rPr>
        <w:t xml:space="preserve">registri IVA </w:t>
      </w:r>
      <w:r w:rsidRPr="00CD1AA0">
        <w:rPr>
          <w:rFonts w:ascii="Bookman Old Style" w:eastAsia="Times New Roman" w:hAnsi="Bookman Old Style" w:cs="Times New Roman"/>
          <w:color w:val="000000"/>
        </w:rPr>
        <w:t xml:space="preserve">relativi a fatture e acquisti tenuti </w:t>
      </w:r>
      <w:r w:rsidRPr="00CD1AA0">
        <w:rPr>
          <w:rFonts w:ascii="Bookman Old Style" w:eastAsia="Times New Roman" w:hAnsi="Bookman Old Style" w:cs="Times New Roman"/>
          <w:b/>
          <w:bCs/>
          <w:color w:val="000000"/>
        </w:rPr>
        <w:t xml:space="preserve">in formato elettronico </w:t>
      </w:r>
      <w:r w:rsidRPr="00CD1AA0">
        <w:rPr>
          <w:rFonts w:ascii="Bookman Old Style" w:eastAsia="Times New Roman" w:hAnsi="Bookman Old Style" w:cs="Times New Roman"/>
          <w:color w:val="000000"/>
        </w:rPr>
        <w:t>anche</w:t>
      </w:r>
      <w:r w:rsidRPr="00CD1AA0">
        <w:rPr>
          <w:rFonts w:ascii="Bookman Old Style" w:eastAsia="Times New Roman" w:hAnsi="Bookman Old Style" w:cs="Times New Roman"/>
          <w:b/>
          <w:bCs/>
          <w:color w:val="000000"/>
        </w:rPr>
        <w:t xml:space="preserve"> </w:t>
      </w:r>
      <w:r w:rsidRPr="00CD1AA0">
        <w:rPr>
          <w:rFonts w:ascii="Bookman Old Style" w:eastAsia="Times New Roman" w:hAnsi="Bookman Old Style" w:cs="Times New Roman"/>
          <w:color w:val="000000"/>
        </w:rPr>
        <w:t>in difetto di trascrizione su supporto cartaceo,</w:t>
      </w:r>
      <w:r w:rsidRPr="00CD1AA0">
        <w:rPr>
          <w:rFonts w:ascii="Bookman Old Style" w:eastAsia="Times New Roman" w:hAnsi="Bookman Old Style" w:cs="Times New Roman"/>
          <w:b/>
          <w:bCs/>
          <w:color w:val="000000"/>
        </w:rPr>
        <w:t xml:space="preserve"> </w:t>
      </w:r>
      <w:r w:rsidRPr="00CD1AA0">
        <w:rPr>
          <w:rFonts w:ascii="Bookman Old Style" w:eastAsia="Times New Roman" w:hAnsi="Bookman Old Style" w:cs="Times New Roman"/>
          <w:color w:val="000000"/>
        </w:rPr>
        <w:t>a specifiche condizioni (</w:t>
      </w:r>
      <w:r w:rsidRPr="00CD1AA0">
        <w:rPr>
          <w:rFonts w:ascii="Bookman Old Style" w:eastAsia="Times New Roman" w:hAnsi="Bookman Old Style" w:cs="Times New Roman"/>
          <w:b/>
          <w:bCs/>
          <w:color w:val="000000"/>
        </w:rPr>
        <w:t>comma 6</w:t>
      </w:r>
      <w:r w:rsidRPr="00CD1AA0">
        <w:rPr>
          <w:rFonts w:ascii="Bookman Old Style" w:eastAsia="Times New Roman" w:hAnsi="Bookman Old Style" w:cs="Times New Roman"/>
          <w:color w:val="000000"/>
        </w:rPr>
        <w:t>).</w:t>
      </w:r>
    </w:p>
    <w:p w:rsidR="00CD1AA0" w:rsidRPr="00733CDB" w:rsidRDefault="00CD1AA0">
      <w:pPr>
        <w:rPr>
          <w:rFonts w:ascii="Bookman Old Style" w:hAnsi="Bookman Old Style"/>
        </w:rPr>
      </w:pPr>
    </w:p>
    <w:p w:rsidR="00733CDB" w:rsidRPr="00733CDB" w:rsidRDefault="00733CDB">
      <w:pPr>
        <w:rPr>
          <w:rFonts w:ascii="Bookman Old Style" w:hAnsi="Bookman Old Style"/>
        </w:rPr>
      </w:pPr>
    </w:p>
    <w:sectPr w:rsidR="00733CDB" w:rsidRPr="00733CDB" w:rsidSect="00FA49EC">
      <w:footerReference w:type="default" r:id="rId10"/>
      <w:headerReference w:type="first" r:id="rId11"/>
      <w:pgSz w:w="11906" w:h="16838"/>
      <w:pgMar w:top="1417" w:right="1134" w:bottom="1134" w:left="1134"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08E7" w:rsidRDefault="006008E7" w:rsidP="00A8109D">
      <w:pPr>
        <w:spacing w:after="0" w:line="240" w:lineRule="auto"/>
      </w:pPr>
      <w:r>
        <w:separator/>
      </w:r>
    </w:p>
  </w:endnote>
  <w:endnote w:type="continuationSeparator" w:id="0">
    <w:p w:rsidR="006008E7" w:rsidRDefault="006008E7" w:rsidP="00A8109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42748"/>
      <w:docPartObj>
        <w:docPartGallery w:val="Page Numbers (Bottom of Page)"/>
        <w:docPartUnique/>
      </w:docPartObj>
    </w:sdtPr>
    <w:sdtContent>
      <w:p w:rsidR="00A8109D" w:rsidRDefault="00391E65">
        <w:pPr>
          <w:pStyle w:val="Pidipagina"/>
          <w:jc w:val="center"/>
        </w:pPr>
        <w:r>
          <w:fldChar w:fldCharType="begin"/>
        </w:r>
        <w:r w:rsidR="0079608C">
          <w:instrText xml:space="preserve"> PAGE   \* MERGEFORMAT </w:instrText>
        </w:r>
        <w:r>
          <w:fldChar w:fldCharType="separate"/>
        </w:r>
        <w:r w:rsidR="00B816CC">
          <w:rPr>
            <w:noProof/>
          </w:rPr>
          <w:t>10</w:t>
        </w:r>
        <w:r>
          <w:rPr>
            <w:noProof/>
          </w:rPr>
          <w:fldChar w:fldCharType="end"/>
        </w:r>
      </w:p>
    </w:sdtContent>
  </w:sdt>
  <w:p w:rsidR="00A8109D" w:rsidRDefault="00A8109D">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08E7" w:rsidRDefault="006008E7" w:rsidP="00A8109D">
      <w:pPr>
        <w:spacing w:after="0" w:line="240" w:lineRule="auto"/>
      </w:pPr>
      <w:r>
        <w:separator/>
      </w:r>
    </w:p>
  </w:footnote>
  <w:footnote w:type="continuationSeparator" w:id="0">
    <w:p w:rsidR="006008E7" w:rsidRDefault="006008E7" w:rsidP="00A8109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49EC" w:rsidRDefault="00FA49EC" w:rsidP="00FA49EC">
    <w:pPr>
      <w:pStyle w:val="Intestazione"/>
      <w:tabs>
        <w:tab w:val="clear" w:pos="4819"/>
        <w:tab w:val="left" w:pos="8466"/>
      </w:tabs>
    </w:pPr>
    <w:r>
      <w:tab/>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77C56"/>
    <w:multiLevelType w:val="multilevel"/>
    <w:tmpl w:val="7F1E242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nsid w:val="0BE32E14"/>
    <w:multiLevelType w:val="multilevel"/>
    <w:tmpl w:val="C226C14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nsid w:val="0EB84F62"/>
    <w:multiLevelType w:val="multilevel"/>
    <w:tmpl w:val="162CDDE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nsid w:val="10135832"/>
    <w:multiLevelType w:val="multilevel"/>
    <w:tmpl w:val="5C6C10A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nsid w:val="197D0D4C"/>
    <w:multiLevelType w:val="multilevel"/>
    <w:tmpl w:val="7832834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nsid w:val="22EB4637"/>
    <w:multiLevelType w:val="hybridMultilevel"/>
    <w:tmpl w:val="C1661F68"/>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32AB14D0"/>
    <w:multiLevelType w:val="hybridMultilevel"/>
    <w:tmpl w:val="21FABA30"/>
    <w:lvl w:ilvl="0" w:tplc="0410000D">
      <w:start w:val="1"/>
      <w:numFmt w:val="bullet"/>
      <w:lvlText w:val=""/>
      <w:lvlJc w:val="left"/>
      <w:pPr>
        <w:ind w:left="743" w:hanging="360"/>
      </w:pPr>
      <w:rPr>
        <w:rFonts w:ascii="Wingdings" w:hAnsi="Wingdings" w:hint="default"/>
      </w:rPr>
    </w:lvl>
    <w:lvl w:ilvl="1" w:tplc="04100003" w:tentative="1">
      <w:start w:val="1"/>
      <w:numFmt w:val="bullet"/>
      <w:lvlText w:val="o"/>
      <w:lvlJc w:val="left"/>
      <w:pPr>
        <w:ind w:left="1463" w:hanging="360"/>
      </w:pPr>
      <w:rPr>
        <w:rFonts w:ascii="Courier New" w:hAnsi="Courier New" w:cs="Courier New" w:hint="default"/>
      </w:rPr>
    </w:lvl>
    <w:lvl w:ilvl="2" w:tplc="04100005" w:tentative="1">
      <w:start w:val="1"/>
      <w:numFmt w:val="bullet"/>
      <w:lvlText w:val=""/>
      <w:lvlJc w:val="left"/>
      <w:pPr>
        <w:ind w:left="2183" w:hanging="360"/>
      </w:pPr>
      <w:rPr>
        <w:rFonts w:ascii="Wingdings" w:hAnsi="Wingdings" w:hint="default"/>
      </w:rPr>
    </w:lvl>
    <w:lvl w:ilvl="3" w:tplc="04100001" w:tentative="1">
      <w:start w:val="1"/>
      <w:numFmt w:val="bullet"/>
      <w:lvlText w:val=""/>
      <w:lvlJc w:val="left"/>
      <w:pPr>
        <w:ind w:left="2903" w:hanging="360"/>
      </w:pPr>
      <w:rPr>
        <w:rFonts w:ascii="Symbol" w:hAnsi="Symbol" w:hint="default"/>
      </w:rPr>
    </w:lvl>
    <w:lvl w:ilvl="4" w:tplc="04100003" w:tentative="1">
      <w:start w:val="1"/>
      <w:numFmt w:val="bullet"/>
      <w:lvlText w:val="o"/>
      <w:lvlJc w:val="left"/>
      <w:pPr>
        <w:ind w:left="3623" w:hanging="360"/>
      </w:pPr>
      <w:rPr>
        <w:rFonts w:ascii="Courier New" w:hAnsi="Courier New" w:cs="Courier New" w:hint="default"/>
      </w:rPr>
    </w:lvl>
    <w:lvl w:ilvl="5" w:tplc="04100005" w:tentative="1">
      <w:start w:val="1"/>
      <w:numFmt w:val="bullet"/>
      <w:lvlText w:val=""/>
      <w:lvlJc w:val="left"/>
      <w:pPr>
        <w:ind w:left="4343" w:hanging="360"/>
      </w:pPr>
      <w:rPr>
        <w:rFonts w:ascii="Wingdings" w:hAnsi="Wingdings" w:hint="default"/>
      </w:rPr>
    </w:lvl>
    <w:lvl w:ilvl="6" w:tplc="04100001" w:tentative="1">
      <w:start w:val="1"/>
      <w:numFmt w:val="bullet"/>
      <w:lvlText w:val=""/>
      <w:lvlJc w:val="left"/>
      <w:pPr>
        <w:ind w:left="5063" w:hanging="360"/>
      </w:pPr>
      <w:rPr>
        <w:rFonts w:ascii="Symbol" w:hAnsi="Symbol" w:hint="default"/>
      </w:rPr>
    </w:lvl>
    <w:lvl w:ilvl="7" w:tplc="04100003" w:tentative="1">
      <w:start w:val="1"/>
      <w:numFmt w:val="bullet"/>
      <w:lvlText w:val="o"/>
      <w:lvlJc w:val="left"/>
      <w:pPr>
        <w:ind w:left="5783" w:hanging="360"/>
      </w:pPr>
      <w:rPr>
        <w:rFonts w:ascii="Courier New" w:hAnsi="Courier New" w:cs="Courier New" w:hint="default"/>
      </w:rPr>
    </w:lvl>
    <w:lvl w:ilvl="8" w:tplc="04100005" w:tentative="1">
      <w:start w:val="1"/>
      <w:numFmt w:val="bullet"/>
      <w:lvlText w:val=""/>
      <w:lvlJc w:val="left"/>
      <w:pPr>
        <w:ind w:left="6503" w:hanging="360"/>
      </w:pPr>
      <w:rPr>
        <w:rFonts w:ascii="Wingdings" w:hAnsi="Wingdings" w:hint="default"/>
      </w:rPr>
    </w:lvl>
  </w:abstractNum>
  <w:abstractNum w:abstractNumId="7">
    <w:nsid w:val="3F2B1412"/>
    <w:multiLevelType w:val="hybridMultilevel"/>
    <w:tmpl w:val="6108FE00"/>
    <w:lvl w:ilvl="0" w:tplc="0410000D">
      <w:start w:val="1"/>
      <w:numFmt w:val="bullet"/>
      <w:lvlText w:val=""/>
      <w:lvlJc w:val="left"/>
      <w:pPr>
        <w:ind w:left="743" w:hanging="360"/>
      </w:pPr>
      <w:rPr>
        <w:rFonts w:ascii="Wingdings" w:hAnsi="Wingdings" w:hint="default"/>
      </w:rPr>
    </w:lvl>
    <w:lvl w:ilvl="1" w:tplc="04100003" w:tentative="1">
      <w:start w:val="1"/>
      <w:numFmt w:val="bullet"/>
      <w:lvlText w:val="o"/>
      <w:lvlJc w:val="left"/>
      <w:pPr>
        <w:ind w:left="1463" w:hanging="360"/>
      </w:pPr>
      <w:rPr>
        <w:rFonts w:ascii="Courier New" w:hAnsi="Courier New" w:cs="Courier New" w:hint="default"/>
      </w:rPr>
    </w:lvl>
    <w:lvl w:ilvl="2" w:tplc="04100005" w:tentative="1">
      <w:start w:val="1"/>
      <w:numFmt w:val="bullet"/>
      <w:lvlText w:val=""/>
      <w:lvlJc w:val="left"/>
      <w:pPr>
        <w:ind w:left="2183" w:hanging="360"/>
      </w:pPr>
      <w:rPr>
        <w:rFonts w:ascii="Wingdings" w:hAnsi="Wingdings" w:hint="default"/>
      </w:rPr>
    </w:lvl>
    <w:lvl w:ilvl="3" w:tplc="04100001" w:tentative="1">
      <w:start w:val="1"/>
      <w:numFmt w:val="bullet"/>
      <w:lvlText w:val=""/>
      <w:lvlJc w:val="left"/>
      <w:pPr>
        <w:ind w:left="2903" w:hanging="360"/>
      </w:pPr>
      <w:rPr>
        <w:rFonts w:ascii="Symbol" w:hAnsi="Symbol" w:hint="default"/>
      </w:rPr>
    </w:lvl>
    <w:lvl w:ilvl="4" w:tplc="04100003" w:tentative="1">
      <w:start w:val="1"/>
      <w:numFmt w:val="bullet"/>
      <w:lvlText w:val="o"/>
      <w:lvlJc w:val="left"/>
      <w:pPr>
        <w:ind w:left="3623" w:hanging="360"/>
      </w:pPr>
      <w:rPr>
        <w:rFonts w:ascii="Courier New" w:hAnsi="Courier New" w:cs="Courier New" w:hint="default"/>
      </w:rPr>
    </w:lvl>
    <w:lvl w:ilvl="5" w:tplc="04100005" w:tentative="1">
      <w:start w:val="1"/>
      <w:numFmt w:val="bullet"/>
      <w:lvlText w:val=""/>
      <w:lvlJc w:val="left"/>
      <w:pPr>
        <w:ind w:left="4343" w:hanging="360"/>
      </w:pPr>
      <w:rPr>
        <w:rFonts w:ascii="Wingdings" w:hAnsi="Wingdings" w:hint="default"/>
      </w:rPr>
    </w:lvl>
    <w:lvl w:ilvl="6" w:tplc="04100001" w:tentative="1">
      <w:start w:val="1"/>
      <w:numFmt w:val="bullet"/>
      <w:lvlText w:val=""/>
      <w:lvlJc w:val="left"/>
      <w:pPr>
        <w:ind w:left="5063" w:hanging="360"/>
      </w:pPr>
      <w:rPr>
        <w:rFonts w:ascii="Symbol" w:hAnsi="Symbol" w:hint="default"/>
      </w:rPr>
    </w:lvl>
    <w:lvl w:ilvl="7" w:tplc="04100003" w:tentative="1">
      <w:start w:val="1"/>
      <w:numFmt w:val="bullet"/>
      <w:lvlText w:val="o"/>
      <w:lvlJc w:val="left"/>
      <w:pPr>
        <w:ind w:left="5783" w:hanging="360"/>
      </w:pPr>
      <w:rPr>
        <w:rFonts w:ascii="Courier New" w:hAnsi="Courier New" w:cs="Courier New" w:hint="default"/>
      </w:rPr>
    </w:lvl>
    <w:lvl w:ilvl="8" w:tplc="04100005" w:tentative="1">
      <w:start w:val="1"/>
      <w:numFmt w:val="bullet"/>
      <w:lvlText w:val=""/>
      <w:lvlJc w:val="left"/>
      <w:pPr>
        <w:ind w:left="6503" w:hanging="360"/>
      </w:pPr>
      <w:rPr>
        <w:rFonts w:ascii="Wingdings" w:hAnsi="Wingdings" w:hint="default"/>
      </w:rPr>
    </w:lvl>
  </w:abstractNum>
  <w:abstractNum w:abstractNumId="8">
    <w:nsid w:val="439314CD"/>
    <w:multiLevelType w:val="multilevel"/>
    <w:tmpl w:val="6926624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nsid w:val="46C5286B"/>
    <w:multiLevelType w:val="hybridMultilevel"/>
    <w:tmpl w:val="7474141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4AEC16FC"/>
    <w:multiLevelType w:val="multilevel"/>
    <w:tmpl w:val="DD8E551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nsid w:val="61EA17C7"/>
    <w:multiLevelType w:val="multilevel"/>
    <w:tmpl w:val="DF0A314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nsid w:val="65F232E6"/>
    <w:multiLevelType w:val="hybridMultilevel"/>
    <w:tmpl w:val="1362DD9A"/>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nsid w:val="6E2D7595"/>
    <w:multiLevelType w:val="hybridMultilevel"/>
    <w:tmpl w:val="48C8AFB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704B4183"/>
    <w:multiLevelType w:val="hybridMultilevel"/>
    <w:tmpl w:val="D986982C"/>
    <w:lvl w:ilvl="0" w:tplc="04100001">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5">
    <w:nsid w:val="70B104F0"/>
    <w:multiLevelType w:val="multilevel"/>
    <w:tmpl w:val="15B07CF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nsid w:val="70EA1999"/>
    <w:multiLevelType w:val="hybridMultilevel"/>
    <w:tmpl w:val="7FD6C06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746D3E01"/>
    <w:multiLevelType w:val="hybridMultilevel"/>
    <w:tmpl w:val="03A8993A"/>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nsid w:val="789F3B6D"/>
    <w:multiLevelType w:val="hybridMultilevel"/>
    <w:tmpl w:val="0D361E0E"/>
    <w:lvl w:ilvl="0" w:tplc="04100001">
      <w:start w:val="1"/>
      <w:numFmt w:val="bullet"/>
      <w:lvlText w:val=""/>
      <w:lvlJc w:val="left"/>
      <w:pPr>
        <w:ind w:left="812"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19">
    <w:nsid w:val="7FD016A5"/>
    <w:multiLevelType w:val="multilevel"/>
    <w:tmpl w:val="BC9C35A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11"/>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19"/>
  </w:num>
  <w:num w:numId="4">
    <w:abstractNumId w:val="0"/>
  </w:num>
  <w:num w:numId="5">
    <w:abstractNumId w:val="8"/>
  </w:num>
  <w:num w:numId="6">
    <w:abstractNumId w:val="15"/>
  </w:num>
  <w:num w:numId="7">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8">
    <w:abstractNumId w:val="10"/>
  </w:num>
  <w:num w:numId="9">
    <w:abstractNumId w:val="3"/>
  </w:num>
  <w:num w:numId="10">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11">
    <w:abstractNumId w:val="12"/>
  </w:num>
  <w:num w:numId="12">
    <w:abstractNumId w:val="17"/>
  </w:num>
  <w:num w:numId="13">
    <w:abstractNumId w:val="7"/>
  </w:num>
  <w:num w:numId="14">
    <w:abstractNumId w:val="6"/>
  </w:num>
  <w:num w:numId="15">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num>
  <w:num w:numId="17">
    <w:abstractNumId w:val="9"/>
  </w:num>
  <w:num w:numId="18">
    <w:abstractNumId w:val="14"/>
  </w:num>
  <w:num w:numId="19">
    <w:abstractNumId w:val="5"/>
  </w:num>
  <w:num w:numId="20">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footnotePr>
    <w:footnote w:id="-1"/>
    <w:footnote w:id="0"/>
  </w:footnotePr>
  <w:endnotePr>
    <w:endnote w:id="-1"/>
    <w:endnote w:id="0"/>
  </w:endnotePr>
  <w:compat>
    <w:useFELayout/>
  </w:compat>
  <w:rsids>
    <w:rsidRoot w:val="00CD1AA0"/>
    <w:rsid w:val="0005173F"/>
    <w:rsid w:val="00085870"/>
    <w:rsid w:val="000D4D9B"/>
    <w:rsid w:val="001161B2"/>
    <w:rsid w:val="001272EE"/>
    <w:rsid w:val="00143615"/>
    <w:rsid w:val="00180EB8"/>
    <w:rsid w:val="001E34A1"/>
    <w:rsid w:val="001F0581"/>
    <w:rsid w:val="00226285"/>
    <w:rsid w:val="002C5DBF"/>
    <w:rsid w:val="002D15A4"/>
    <w:rsid w:val="002F7022"/>
    <w:rsid w:val="00310751"/>
    <w:rsid w:val="0031592E"/>
    <w:rsid w:val="00316F7E"/>
    <w:rsid w:val="00333B04"/>
    <w:rsid w:val="00346DD4"/>
    <w:rsid w:val="00356995"/>
    <w:rsid w:val="00377212"/>
    <w:rsid w:val="003853A7"/>
    <w:rsid w:val="00391E65"/>
    <w:rsid w:val="003C3BA7"/>
    <w:rsid w:val="003E750F"/>
    <w:rsid w:val="003F5E32"/>
    <w:rsid w:val="003F6A6F"/>
    <w:rsid w:val="00413677"/>
    <w:rsid w:val="00453911"/>
    <w:rsid w:val="00470705"/>
    <w:rsid w:val="00472660"/>
    <w:rsid w:val="005319EE"/>
    <w:rsid w:val="005732C3"/>
    <w:rsid w:val="00574474"/>
    <w:rsid w:val="006008E7"/>
    <w:rsid w:val="00676EFF"/>
    <w:rsid w:val="006B71B1"/>
    <w:rsid w:val="006B7810"/>
    <w:rsid w:val="006F4619"/>
    <w:rsid w:val="007203F7"/>
    <w:rsid w:val="00733CDB"/>
    <w:rsid w:val="0079608C"/>
    <w:rsid w:val="007A1014"/>
    <w:rsid w:val="007E644A"/>
    <w:rsid w:val="00803A0F"/>
    <w:rsid w:val="0083443A"/>
    <w:rsid w:val="0084561E"/>
    <w:rsid w:val="008C595E"/>
    <w:rsid w:val="009258D7"/>
    <w:rsid w:val="00934108"/>
    <w:rsid w:val="009423E2"/>
    <w:rsid w:val="00947E99"/>
    <w:rsid w:val="009609AB"/>
    <w:rsid w:val="009F2BD0"/>
    <w:rsid w:val="009F3155"/>
    <w:rsid w:val="00A8109D"/>
    <w:rsid w:val="00A87077"/>
    <w:rsid w:val="00AA217A"/>
    <w:rsid w:val="00AB79DF"/>
    <w:rsid w:val="00AF17F3"/>
    <w:rsid w:val="00AF2519"/>
    <w:rsid w:val="00B816CC"/>
    <w:rsid w:val="00B96428"/>
    <w:rsid w:val="00C4171A"/>
    <w:rsid w:val="00CD1AA0"/>
    <w:rsid w:val="00CE6E1E"/>
    <w:rsid w:val="00D13D61"/>
    <w:rsid w:val="00D35E71"/>
    <w:rsid w:val="00DA3892"/>
    <w:rsid w:val="00DB6F52"/>
    <w:rsid w:val="00E0272B"/>
    <w:rsid w:val="00E10F86"/>
    <w:rsid w:val="00EA51C5"/>
    <w:rsid w:val="00EE0B4B"/>
    <w:rsid w:val="00EE5816"/>
    <w:rsid w:val="00EF6434"/>
    <w:rsid w:val="00F20941"/>
    <w:rsid w:val="00F367DF"/>
    <w:rsid w:val="00F37787"/>
    <w:rsid w:val="00FA49EC"/>
    <w:rsid w:val="00FD7255"/>
    <w:rsid w:val="00FE717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91E65"/>
  </w:style>
  <w:style w:type="paragraph" w:styleId="Titolo2">
    <w:name w:val="heading 2"/>
    <w:basedOn w:val="Normale"/>
    <w:next w:val="Normale"/>
    <w:link w:val="Titolo2Carattere"/>
    <w:uiPriority w:val="9"/>
    <w:unhideWhenUsed/>
    <w:qFormat/>
    <w:rsid w:val="00733CDB"/>
    <w:pPr>
      <w:keepNext/>
      <w:keepLines/>
      <w:spacing w:before="200" w:after="0"/>
      <w:outlineLvl w:val="1"/>
    </w:pPr>
    <w:rPr>
      <w:rFonts w:ascii="Cambria" w:eastAsia="Times New Roman" w:hAnsi="Cambria" w:cs="Times New Roman"/>
      <w:b/>
      <w:bCs/>
      <w:color w:val="4F81BD"/>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CD1AA0"/>
    <w:rPr>
      <w:strike w:val="0"/>
      <w:dstrike w:val="0"/>
      <w:color w:val="0000FF"/>
      <w:u w:val="none"/>
      <w:effect w:val="none"/>
      <w:shd w:val="clear" w:color="auto" w:fill="auto"/>
    </w:rPr>
  </w:style>
  <w:style w:type="character" w:customStyle="1" w:styleId="Titolo2Carattere">
    <w:name w:val="Titolo 2 Carattere"/>
    <w:basedOn w:val="Carpredefinitoparagrafo"/>
    <w:link w:val="Titolo2"/>
    <w:uiPriority w:val="9"/>
    <w:rsid w:val="00733CDB"/>
    <w:rPr>
      <w:rFonts w:ascii="Cambria" w:eastAsia="Times New Roman" w:hAnsi="Cambria" w:cs="Times New Roman"/>
      <w:b/>
      <w:bCs/>
      <w:color w:val="4F81BD"/>
      <w:sz w:val="26"/>
      <w:szCs w:val="26"/>
      <w:lang w:eastAsia="it-IT"/>
    </w:rPr>
  </w:style>
  <w:style w:type="paragraph" w:customStyle="1" w:styleId="Default">
    <w:name w:val="Default"/>
    <w:rsid w:val="00733CDB"/>
    <w:pPr>
      <w:autoSpaceDE w:val="0"/>
      <w:autoSpaceDN w:val="0"/>
      <w:adjustRightInd w:val="0"/>
      <w:spacing w:after="0" w:line="240" w:lineRule="auto"/>
    </w:pPr>
    <w:rPr>
      <w:rFonts w:ascii="Times New Roman" w:hAnsi="Times New Roman" w:cs="Times New Roman"/>
      <w:color w:val="000000"/>
      <w:sz w:val="24"/>
      <w:szCs w:val="24"/>
    </w:rPr>
  </w:style>
  <w:style w:type="paragraph" w:styleId="Testofumetto">
    <w:name w:val="Balloon Text"/>
    <w:basedOn w:val="Normale"/>
    <w:link w:val="TestofumettoCarattere"/>
    <w:uiPriority w:val="99"/>
    <w:semiHidden/>
    <w:unhideWhenUsed/>
    <w:rsid w:val="00733CD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33CDB"/>
    <w:rPr>
      <w:rFonts w:ascii="Tahoma" w:hAnsi="Tahoma" w:cs="Tahoma"/>
      <w:sz w:val="16"/>
      <w:szCs w:val="16"/>
    </w:rPr>
  </w:style>
  <w:style w:type="paragraph" w:styleId="Paragrafoelenco">
    <w:name w:val="List Paragraph"/>
    <w:basedOn w:val="Normale"/>
    <w:uiPriority w:val="34"/>
    <w:qFormat/>
    <w:rsid w:val="00AB79DF"/>
    <w:pPr>
      <w:ind w:left="720"/>
      <w:contextualSpacing/>
    </w:pPr>
  </w:style>
  <w:style w:type="paragraph" w:styleId="Intestazione">
    <w:name w:val="header"/>
    <w:basedOn w:val="Normale"/>
    <w:link w:val="IntestazioneCarattere"/>
    <w:uiPriority w:val="99"/>
    <w:unhideWhenUsed/>
    <w:rsid w:val="00A8109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8109D"/>
  </w:style>
  <w:style w:type="paragraph" w:styleId="Pidipagina">
    <w:name w:val="footer"/>
    <w:basedOn w:val="Normale"/>
    <w:link w:val="PidipaginaCarattere"/>
    <w:uiPriority w:val="99"/>
    <w:unhideWhenUsed/>
    <w:rsid w:val="00A8109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8109D"/>
  </w:style>
  <w:style w:type="table" w:styleId="Grigliatabella">
    <w:name w:val="Table Grid"/>
    <w:basedOn w:val="Tabellanormale"/>
    <w:uiPriority w:val="59"/>
    <w:rsid w:val="009F315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06860162">
      <w:bodyDiv w:val="1"/>
      <w:marLeft w:val="0"/>
      <w:marRight w:val="0"/>
      <w:marTop w:val="0"/>
      <w:marBottom w:val="0"/>
      <w:divBdr>
        <w:top w:val="none" w:sz="0" w:space="0" w:color="auto"/>
        <w:left w:val="none" w:sz="0" w:space="0" w:color="auto"/>
        <w:bottom w:val="none" w:sz="0" w:space="0" w:color="auto"/>
        <w:right w:val="none" w:sz="0" w:space="0" w:color="auto"/>
      </w:divBdr>
      <w:divsChild>
        <w:div w:id="1874079324">
          <w:marLeft w:val="0"/>
          <w:marRight w:val="0"/>
          <w:marTop w:val="0"/>
          <w:marBottom w:val="0"/>
          <w:divBdr>
            <w:top w:val="none" w:sz="0" w:space="0" w:color="auto"/>
            <w:left w:val="none" w:sz="0" w:space="0" w:color="auto"/>
            <w:bottom w:val="none" w:sz="0" w:space="0" w:color="auto"/>
            <w:right w:val="none" w:sz="0" w:space="0" w:color="auto"/>
          </w:divBdr>
          <w:divsChild>
            <w:div w:id="215242944">
              <w:marLeft w:val="0"/>
              <w:marRight w:val="0"/>
              <w:marTop w:val="0"/>
              <w:marBottom w:val="0"/>
              <w:divBdr>
                <w:top w:val="none" w:sz="0" w:space="0" w:color="auto"/>
                <w:left w:val="none" w:sz="0" w:space="0" w:color="auto"/>
                <w:bottom w:val="none" w:sz="0" w:space="0" w:color="auto"/>
                <w:right w:val="none" w:sz="0" w:space="0" w:color="auto"/>
              </w:divBdr>
              <w:divsChild>
                <w:div w:id="1622878538">
                  <w:marLeft w:val="0"/>
                  <w:marRight w:val="0"/>
                  <w:marTop w:val="0"/>
                  <w:marBottom w:val="0"/>
                  <w:divBdr>
                    <w:top w:val="none" w:sz="0" w:space="0" w:color="auto"/>
                    <w:left w:val="none" w:sz="0" w:space="0" w:color="auto"/>
                    <w:bottom w:val="none" w:sz="0" w:space="0" w:color="auto"/>
                    <w:right w:val="none" w:sz="0" w:space="0" w:color="auto"/>
                  </w:divBdr>
                  <w:divsChild>
                    <w:div w:id="1908373338">
                      <w:marLeft w:val="0"/>
                      <w:marRight w:val="0"/>
                      <w:marTop w:val="0"/>
                      <w:marBottom w:val="0"/>
                      <w:divBdr>
                        <w:top w:val="none" w:sz="0" w:space="0" w:color="auto"/>
                        <w:left w:val="none" w:sz="0" w:space="0" w:color="auto"/>
                        <w:bottom w:val="none" w:sz="0" w:space="0" w:color="auto"/>
                        <w:right w:val="none" w:sz="0" w:space="0" w:color="auto"/>
                      </w:divBdr>
                      <w:divsChild>
                        <w:div w:id="82301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5795998">
      <w:bodyDiv w:val="1"/>
      <w:marLeft w:val="0"/>
      <w:marRight w:val="0"/>
      <w:marTop w:val="0"/>
      <w:marBottom w:val="0"/>
      <w:divBdr>
        <w:top w:val="none" w:sz="0" w:space="0" w:color="auto"/>
        <w:left w:val="none" w:sz="0" w:space="0" w:color="auto"/>
        <w:bottom w:val="none" w:sz="0" w:space="0" w:color="auto"/>
        <w:right w:val="none" w:sz="0" w:space="0" w:color="auto"/>
      </w:divBdr>
      <w:divsChild>
        <w:div w:id="2032100520">
          <w:marLeft w:val="0"/>
          <w:marRight w:val="0"/>
          <w:marTop w:val="0"/>
          <w:marBottom w:val="0"/>
          <w:divBdr>
            <w:top w:val="none" w:sz="0" w:space="0" w:color="auto"/>
            <w:left w:val="none" w:sz="0" w:space="0" w:color="auto"/>
            <w:bottom w:val="none" w:sz="0" w:space="0" w:color="auto"/>
            <w:right w:val="none" w:sz="0" w:space="0" w:color="auto"/>
          </w:divBdr>
          <w:divsChild>
            <w:div w:id="1730885222">
              <w:marLeft w:val="0"/>
              <w:marRight w:val="0"/>
              <w:marTop w:val="0"/>
              <w:marBottom w:val="0"/>
              <w:divBdr>
                <w:top w:val="none" w:sz="0" w:space="0" w:color="auto"/>
                <w:left w:val="none" w:sz="0" w:space="0" w:color="auto"/>
                <w:bottom w:val="none" w:sz="0" w:space="0" w:color="auto"/>
                <w:right w:val="none" w:sz="0" w:space="0" w:color="auto"/>
              </w:divBdr>
              <w:divsChild>
                <w:div w:id="1106926114">
                  <w:marLeft w:val="0"/>
                  <w:marRight w:val="0"/>
                  <w:marTop w:val="0"/>
                  <w:marBottom w:val="0"/>
                  <w:divBdr>
                    <w:top w:val="none" w:sz="0" w:space="0" w:color="auto"/>
                    <w:left w:val="none" w:sz="0" w:space="0" w:color="auto"/>
                    <w:bottom w:val="none" w:sz="0" w:space="0" w:color="auto"/>
                    <w:right w:val="none" w:sz="0" w:space="0" w:color="auto"/>
                  </w:divBdr>
                  <w:divsChild>
                    <w:div w:id="1235898168">
                      <w:marLeft w:val="0"/>
                      <w:marRight w:val="0"/>
                      <w:marTop w:val="0"/>
                      <w:marBottom w:val="0"/>
                      <w:divBdr>
                        <w:top w:val="none" w:sz="0" w:space="0" w:color="auto"/>
                        <w:left w:val="none" w:sz="0" w:space="0" w:color="auto"/>
                        <w:bottom w:val="none" w:sz="0" w:space="0" w:color="auto"/>
                        <w:right w:val="none" w:sz="0" w:space="0" w:color="auto"/>
                      </w:divBdr>
                      <w:divsChild>
                        <w:div w:id="881139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8153130">
      <w:bodyDiv w:val="1"/>
      <w:marLeft w:val="0"/>
      <w:marRight w:val="0"/>
      <w:marTop w:val="0"/>
      <w:marBottom w:val="0"/>
      <w:divBdr>
        <w:top w:val="none" w:sz="0" w:space="0" w:color="auto"/>
        <w:left w:val="none" w:sz="0" w:space="0" w:color="auto"/>
        <w:bottom w:val="none" w:sz="0" w:space="0" w:color="auto"/>
        <w:right w:val="none" w:sz="0" w:space="0" w:color="auto"/>
      </w:divBdr>
      <w:divsChild>
        <w:div w:id="581911020">
          <w:marLeft w:val="0"/>
          <w:marRight w:val="0"/>
          <w:marTop w:val="0"/>
          <w:marBottom w:val="0"/>
          <w:divBdr>
            <w:top w:val="none" w:sz="0" w:space="0" w:color="auto"/>
            <w:left w:val="none" w:sz="0" w:space="0" w:color="auto"/>
            <w:bottom w:val="none" w:sz="0" w:space="0" w:color="auto"/>
            <w:right w:val="none" w:sz="0" w:space="0" w:color="auto"/>
          </w:divBdr>
          <w:divsChild>
            <w:div w:id="745807708">
              <w:marLeft w:val="0"/>
              <w:marRight w:val="0"/>
              <w:marTop w:val="0"/>
              <w:marBottom w:val="0"/>
              <w:divBdr>
                <w:top w:val="none" w:sz="0" w:space="0" w:color="auto"/>
                <w:left w:val="none" w:sz="0" w:space="0" w:color="auto"/>
                <w:bottom w:val="none" w:sz="0" w:space="0" w:color="auto"/>
                <w:right w:val="none" w:sz="0" w:space="0" w:color="auto"/>
              </w:divBdr>
              <w:divsChild>
                <w:div w:id="1239173269">
                  <w:marLeft w:val="0"/>
                  <w:marRight w:val="0"/>
                  <w:marTop w:val="0"/>
                  <w:marBottom w:val="0"/>
                  <w:divBdr>
                    <w:top w:val="none" w:sz="0" w:space="0" w:color="auto"/>
                    <w:left w:val="none" w:sz="0" w:space="0" w:color="auto"/>
                    <w:bottom w:val="none" w:sz="0" w:space="0" w:color="auto"/>
                    <w:right w:val="none" w:sz="0" w:space="0" w:color="auto"/>
                  </w:divBdr>
                  <w:divsChild>
                    <w:div w:id="1087312022">
                      <w:marLeft w:val="0"/>
                      <w:marRight w:val="0"/>
                      <w:marTop w:val="0"/>
                      <w:marBottom w:val="0"/>
                      <w:divBdr>
                        <w:top w:val="none" w:sz="0" w:space="0" w:color="auto"/>
                        <w:left w:val="none" w:sz="0" w:space="0" w:color="auto"/>
                        <w:bottom w:val="none" w:sz="0" w:space="0" w:color="auto"/>
                        <w:right w:val="none" w:sz="0" w:space="0" w:color="auto"/>
                      </w:divBdr>
                      <w:divsChild>
                        <w:div w:id="1635602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2932369">
      <w:bodyDiv w:val="1"/>
      <w:marLeft w:val="0"/>
      <w:marRight w:val="0"/>
      <w:marTop w:val="0"/>
      <w:marBottom w:val="0"/>
      <w:divBdr>
        <w:top w:val="none" w:sz="0" w:space="0" w:color="auto"/>
        <w:left w:val="none" w:sz="0" w:space="0" w:color="auto"/>
        <w:bottom w:val="none" w:sz="0" w:space="0" w:color="auto"/>
        <w:right w:val="none" w:sz="0" w:space="0" w:color="auto"/>
      </w:divBdr>
      <w:divsChild>
        <w:div w:id="1620721987">
          <w:marLeft w:val="0"/>
          <w:marRight w:val="0"/>
          <w:marTop w:val="0"/>
          <w:marBottom w:val="0"/>
          <w:divBdr>
            <w:top w:val="none" w:sz="0" w:space="0" w:color="auto"/>
            <w:left w:val="none" w:sz="0" w:space="0" w:color="auto"/>
            <w:bottom w:val="none" w:sz="0" w:space="0" w:color="auto"/>
            <w:right w:val="none" w:sz="0" w:space="0" w:color="auto"/>
          </w:divBdr>
          <w:divsChild>
            <w:div w:id="1614433124">
              <w:marLeft w:val="0"/>
              <w:marRight w:val="0"/>
              <w:marTop w:val="0"/>
              <w:marBottom w:val="0"/>
              <w:divBdr>
                <w:top w:val="none" w:sz="0" w:space="0" w:color="auto"/>
                <w:left w:val="none" w:sz="0" w:space="0" w:color="auto"/>
                <w:bottom w:val="none" w:sz="0" w:space="0" w:color="auto"/>
                <w:right w:val="none" w:sz="0" w:space="0" w:color="auto"/>
              </w:divBdr>
              <w:divsChild>
                <w:div w:id="1128621496">
                  <w:marLeft w:val="0"/>
                  <w:marRight w:val="0"/>
                  <w:marTop w:val="0"/>
                  <w:marBottom w:val="0"/>
                  <w:divBdr>
                    <w:top w:val="none" w:sz="0" w:space="0" w:color="auto"/>
                    <w:left w:val="none" w:sz="0" w:space="0" w:color="auto"/>
                    <w:bottom w:val="none" w:sz="0" w:space="0" w:color="auto"/>
                    <w:right w:val="none" w:sz="0" w:space="0" w:color="auto"/>
                  </w:divBdr>
                  <w:divsChild>
                    <w:div w:id="1893037496">
                      <w:marLeft w:val="0"/>
                      <w:marRight w:val="0"/>
                      <w:marTop w:val="0"/>
                      <w:marBottom w:val="0"/>
                      <w:divBdr>
                        <w:top w:val="none" w:sz="0" w:space="0" w:color="auto"/>
                        <w:left w:val="none" w:sz="0" w:space="0" w:color="auto"/>
                        <w:bottom w:val="none" w:sz="0" w:space="0" w:color="auto"/>
                        <w:right w:val="none" w:sz="0" w:space="0" w:color="auto"/>
                      </w:divBdr>
                      <w:divsChild>
                        <w:div w:id="195979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7177388">
      <w:bodyDiv w:val="1"/>
      <w:marLeft w:val="0"/>
      <w:marRight w:val="0"/>
      <w:marTop w:val="0"/>
      <w:marBottom w:val="0"/>
      <w:divBdr>
        <w:top w:val="none" w:sz="0" w:space="0" w:color="auto"/>
        <w:left w:val="none" w:sz="0" w:space="0" w:color="auto"/>
        <w:bottom w:val="none" w:sz="0" w:space="0" w:color="auto"/>
        <w:right w:val="none" w:sz="0" w:space="0" w:color="auto"/>
      </w:divBdr>
      <w:divsChild>
        <w:div w:id="1088698884">
          <w:marLeft w:val="0"/>
          <w:marRight w:val="0"/>
          <w:marTop w:val="0"/>
          <w:marBottom w:val="0"/>
          <w:divBdr>
            <w:top w:val="none" w:sz="0" w:space="0" w:color="auto"/>
            <w:left w:val="none" w:sz="0" w:space="0" w:color="auto"/>
            <w:bottom w:val="none" w:sz="0" w:space="0" w:color="auto"/>
            <w:right w:val="none" w:sz="0" w:space="0" w:color="auto"/>
          </w:divBdr>
          <w:divsChild>
            <w:div w:id="1237738281">
              <w:marLeft w:val="0"/>
              <w:marRight w:val="0"/>
              <w:marTop w:val="0"/>
              <w:marBottom w:val="0"/>
              <w:divBdr>
                <w:top w:val="none" w:sz="0" w:space="0" w:color="auto"/>
                <w:left w:val="none" w:sz="0" w:space="0" w:color="auto"/>
                <w:bottom w:val="none" w:sz="0" w:space="0" w:color="auto"/>
                <w:right w:val="none" w:sz="0" w:space="0" w:color="auto"/>
              </w:divBdr>
              <w:divsChild>
                <w:div w:id="318464335">
                  <w:marLeft w:val="0"/>
                  <w:marRight w:val="0"/>
                  <w:marTop w:val="0"/>
                  <w:marBottom w:val="0"/>
                  <w:divBdr>
                    <w:top w:val="none" w:sz="0" w:space="0" w:color="auto"/>
                    <w:left w:val="none" w:sz="0" w:space="0" w:color="auto"/>
                    <w:bottom w:val="none" w:sz="0" w:space="0" w:color="auto"/>
                    <w:right w:val="none" w:sz="0" w:space="0" w:color="auto"/>
                  </w:divBdr>
                  <w:divsChild>
                    <w:div w:id="1240822229">
                      <w:marLeft w:val="0"/>
                      <w:marRight w:val="0"/>
                      <w:marTop w:val="0"/>
                      <w:marBottom w:val="0"/>
                      <w:divBdr>
                        <w:top w:val="none" w:sz="0" w:space="0" w:color="auto"/>
                        <w:left w:val="none" w:sz="0" w:space="0" w:color="auto"/>
                        <w:bottom w:val="none" w:sz="0" w:space="0" w:color="auto"/>
                        <w:right w:val="none" w:sz="0" w:space="0" w:color="auto"/>
                      </w:divBdr>
                      <w:divsChild>
                        <w:div w:id="1492720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4489">
      <w:bodyDiv w:val="1"/>
      <w:marLeft w:val="0"/>
      <w:marRight w:val="0"/>
      <w:marTop w:val="0"/>
      <w:marBottom w:val="0"/>
      <w:divBdr>
        <w:top w:val="none" w:sz="0" w:space="0" w:color="auto"/>
        <w:left w:val="none" w:sz="0" w:space="0" w:color="auto"/>
        <w:bottom w:val="none" w:sz="0" w:space="0" w:color="auto"/>
        <w:right w:val="none" w:sz="0" w:space="0" w:color="auto"/>
      </w:divBdr>
      <w:divsChild>
        <w:div w:id="893926202">
          <w:marLeft w:val="0"/>
          <w:marRight w:val="0"/>
          <w:marTop w:val="0"/>
          <w:marBottom w:val="0"/>
          <w:divBdr>
            <w:top w:val="none" w:sz="0" w:space="0" w:color="auto"/>
            <w:left w:val="none" w:sz="0" w:space="0" w:color="auto"/>
            <w:bottom w:val="none" w:sz="0" w:space="0" w:color="auto"/>
            <w:right w:val="none" w:sz="0" w:space="0" w:color="auto"/>
          </w:divBdr>
          <w:divsChild>
            <w:div w:id="69160109">
              <w:marLeft w:val="0"/>
              <w:marRight w:val="0"/>
              <w:marTop w:val="0"/>
              <w:marBottom w:val="0"/>
              <w:divBdr>
                <w:top w:val="none" w:sz="0" w:space="0" w:color="auto"/>
                <w:left w:val="none" w:sz="0" w:space="0" w:color="auto"/>
                <w:bottom w:val="none" w:sz="0" w:space="0" w:color="auto"/>
                <w:right w:val="none" w:sz="0" w:space="0" w:color="auto"/>
              </w:divBdr>
              <w:divsChild>
                <w:div w:id="636181087">
                  <w:marLeft w:val="0"/>
                  <w:marRight w:val="0"/>
                  <w:marTop w:val="0"/>
                  <w:marBottom w:val="0"/>
                  <w:divBdr>
                    <w:top w:val="none" w:sz="0" w:space="0" w:color="auto"/>
                    <w:left w:val="none" w:sz="0" w:space="0" w:color="auto"/>
                    <w:bottom w:val="none" w:sz="0" w:space="0" w:color="auto"/>
                    <w:right w:val="none" w:sz="0" w:space="0" w:color="auto"/>
                  </w:divBdr>
                  <w:divsChild>
                    <w:div w:id="1641156069">
                      <w:marLeft w:val="0"/>
                      <w:marRight w:val="0"/>
                      <w:marTop w:val="0"/>
                      <w:marBottom w:val="0"/>
                      <w:divBdr>
                        <w:top w:val="none" w:sz="0" w:space="0" w:color="auto"/>
                        <w:left w:val="none" w:sz="0" w:space="0" w:color="auto"/>
                        <w:bottom w:val="none" w:sz="0" w:space="0" w:color="auto"/>
                        <w:right w:val="none" w:sz="0" w:space="0" w:color="auto"/>
                      </w:divBdr>
                      <w:divsChild>
                        <w:div w:id="103855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8756458">
      <w:bodyDiv w:val="1"/>
      <w:marLeft w:val="0"/>
      <w:marRight w:val="0"/>
      <w:marTop w:val="0"/>
      <w:marBottom w:val="0"/>
      <w:divBdr>
        <w:top w:val="none" w:sz="0" w:space="0" w:color="auto"/>
        <w:left w:val="none" w:sz="0" w:space="0" w:color="auto"/>
        <w:bottom w:val="none" w:sz="0" w:space="0" w:color="auto"/>
        <w:right w:val="none" w:sz="0" w:space="0" w:color="auto"/>
      </w:divBdr>
      <w:divsChild>
        <w:div w:id="146825805">
          <w:marLeft w:val="0"/>
          <w:marRight w:val="0"/>
          <w:marTop w:val="0"/>
          <w:marBottom w:val="0"/>
          <w:divBdr>
            <w:top w:val="none" w:sz="0" w:space="0" w:color="auto"/>
            <w:left w:val="none" w:sz="0" w:space="0" w:color="auto"/>
            <w:bottom w:val="none" w:sz="0" w:space="0" w:color="auto"/>
            <w:right w:val="none" w:sz="0" w:space="0" w:color="auto"/>
          </w:divBdr>
          <w:divsChild>
            <w:div w:id="1141531945">
              <w:marLeft w:val="0"/>
              <w:marRight w:val="0"/>
              <w:marTop w:val="0"/>
              <w:marBottom w:val="0"/>
              <w:divBdr>
                <w:top w:val="none" w:sz="0" w:space="0" w:color="auto"/>
                <w:left w:val="none" w:sz="0" w:space="0" w:color="auto"/>
                <w:bottom w:val="none" w:sz="0" w:space="0" w:color="auto"/>
                <w:right w:val="none" w:sz="0" w:space="0" w:color="auto"/>
              </w:divBdr>
              <w:divsChild>
                <w:div w:id="1802141263">
                  <w:marLeft w:val="0"/>
                  <w:marRight w:val="0"/>
                  <w:marTop w:val="0"/>
                  <w:marBottom w:val="0"/>
                  <w:divBdr>
                    <w:top w:val="none" w:sz="0" w:space="0" w:color="auto"/>
                    <w:left w:val="none" w:sz="0" w:space="0" w:color="auto"/>
                    <w:bottom w:val="none" w:sz="0" w:space="0" w:color="auto"/>
                    <w:right w:val="none" w:sz="0" w:space="0" w:color="auto"/>
                  </w:divBdr>
                  <w:divsChild>
                    <w:div w:id="1908027738">
                      <w:marLeft w:val="0"/>
                      <w:marRight w:val="0"/>
                      <w:marTop w:val="0"/>
                      <w:marBottom w:val="0"/>
                      <w:divBdr>
                        <w:top w:val="none" w:sz="0" w:space="0" w:color="auto"/>
                        <w:left w:val="none" w:sz="0" w:space="0" w:color="auto"/>
                        <w:bottom w:val="none" w:sz="0" w:space="0" w:color="auto"/>
                        <w:right w:val="none" w:sz="0" w:space="0" w:color="auto"/>
                      </w:divBdr>
                      <w:divsChild>
                        <w:div w:id="1659184704">
                          <w:marLeft w:val="0"/>
                          <w:marRight w:val="0"/>
                          <w:marTop w:val="0"/>
                          <w:marBottom w:val="0"/>
                          <w:divBdr>
                            <w:top w:val="none" w:sz="0" w:space="0" w:color="auto"/>
                            <w:left w:val="none" w:sz="0" w:space="0" w:color="auto"/>
                            <w:bottom w:val="none" w:sz="0" w:space="0" w:color="auto"/>
                            <w:right w:val="none" w:sz="0" w:space="0" w:color="auto"/>
                          </w:divBdr>
                          <w:divsChild>
                            <w:div w:id="26688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4710016">
      <w:bodyDiv w:val="1"/>
      <w:marLeft w:val="0"/>
      <w:marRight w:val="0"/>
      <w:marTop w:val="0"/>
      <w:marBottom w:val="0"/>
      <w:divBdr>
        <w:top w:val="none" w:sz="0" w:space="0" w:color="auto"/>
        <w:left w:val="none" w:sz="0" w:space="0" w:color="auto"/>
        <w:bottom w:val="none" w:sz="0" w:space="0" w:color="auto"/>
        <w:right w:val="none" w:sz="0" w:space="0" w:color="auto"/>
      </w:divBdr>
      <w:divsChild>
        <w:div w:id="258222555">
          <w:marLeft w:val="0"/>
          <w:marRight w:val="0"/>
          <w:marTop w:val="0"/>
          <w:marBottom w:val="0"/>
          <w:divBdr>
            <w:top w:val="none" w:sz="0" w:space="0" w:color="auto"/>
            <w:left w:val="none" w:sz="0" w:space="0" w:color="auto"/>
            <w:bottom w:val="none" w:sz="0" w:space="0" w:color="auto"/>
            <w:right w:val="none" w:sz="0" w:space="0" w:color="auto"/>
          </w:divBdr>
          <w:divsChild>
            <w:div w:id="1963268138">
              <w:marLeft w:val="0"/>
              <w:marRight w:val="0"/>
              <w:marTop w:val="0"/>
              <w:marBottom w:val="0"/>
              <w:divBdr>
                <w:top w:val="none" w:sz="0" w:space="0" w:color="auto"/>
                <w:left w:val="none" w:sz="0" w:space="0" w:color="auto"/>
                <w:bottom w:val="none" w:sz="0" w:space="0" w:color="auto"/>
                <w:right w:val="none" w:sz="0" w:space="0" w:color="auto"/>
              </w:divBdr>
              <w:divsChild>
                <w:div w:id="997535830">
                  <w:marLeft w:val="0"/>
                  <w:marRight w:val="0"/>
                  <w:marTop w:val="0"/>
                  <w:marBottom w:val="0"/>
                  <w:divBdr>
                    <w:top w:val="none" w:sz="0" w:space="0" w:color="auto"/>
                    <w:left w:val="none" w:sz="0" w:space="0" w:color="auto"/>
                    <w:bottom w:val="none" w:sz="0" w:space="0" w:color="auto"/>
                    <w:right w:val="none" w:sz="0" w:space="0" w:color="auto"/>
                  </w:divBdr>
                  <w:divsChild>
                    <w:div w:id="166601789">
                      <w:marLeft w:val="0"/>
                      <w:marRight w:val="0"/>
                      <w:marTop w:val="0"/>
                      <w:marBottom w:val="0"/>
                      <w:divBdr>
                        <w:top w:val="none" w:sz="0" w:space="0" w:color="auto"/>
                        <w:left w:val="none" w:sz="0" w:space="0" w:color="auto"/>
                        <w:bottom w:val="none" w:sz="0" w:space="0" w:color="auto"/>
                        <w:right w:val="none" w:sz="0" w:space="0" w:color="auto"/>
                      </w:divBdr>
                      <w:divsChild>
                        <w:div w:id="1725565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7610185">
      <w:bodyDiv w:val="1"/>
      <w:marLeft w:val="0"/>
      <w:marRight w:val="0"/>
      <w:marTop w:val="0"/>
      <w:marBottom w:val="0"/>
      <w:divBdr>
        <w:top w:val="none" w:sz="0" w:space="0" w:color="auto"/>
        <w:left w:val="none" w:sz="0" w:space="0" w:color="auto"/>
        <w:bottom w:val="none" w:sz="0" w:space="0" w:color="auto"/>
        <w:right w:val="none" w:sz="0" w:space="0" w:color="auto"/>
      </w:divBdr>
      <w:divsChild>
        <w:div w:id="836192537">
          <w:marLeft w:val="0"/>
          <w:marRight w:val="0"/>
          <w:marTop w:val="0"/>
          <w:marBottom w:val="0"/>
          <w:divBdr>
            <w:top w:val="none" w:sz="0" w:space="0" w:color="auto"/>
            <w:left w:val="none" w:sz="0" w:space="0" w:color="auto"/>
            <w:bottom w:val="none" w:sz="0" w:space="0" w:color="auto"/>
            <w:right w:val="none" w:sz="0" w:space="0" w:color="auto"/>
          </w:divBdr>
          <w:divsChild>
            <w:div w:id="1397243072">
              <w:marLeft w:val="0"/>
              <w:marRight w:val="0"/>
              <w:marTop w:val="0"/>
              <w:marBottom w:val="0"/>
              <w:divBdr>
                <w:top w:val="none" w:sz="0" w:space="0" w:color="auto"/>
                <w:left w:val="none" w:sz="0" w:space="0" w:color="auto"/>
                <w:bottom w:val="none" w:sz="0" w:space="0" w:color="auto"/>
                <w:right w:val="none" w:sz="0" w:space="0" w:color="auto"/>
              </w:divBdr>
              <w:divsChild>
                <w:div w:id="1956323409">
                  <w:marLeft w:val="0"/>
                  <w:marRight w:val="0"/>
                  <w:marTop w:val="0"/>
                  <w:marBottom w:val="0"/>
                  <w:divBdr>
                    <w:top w:val="none" w:sz="0" w:space="0" w:color="auto"/>
                    <w:left w:val="none" w:sz="0" w:space="0" w:color="auto"/>
                    <w:bottom w:val="none" w:sz="0" w:space="0" w:color="auto"/>
                    <w:right w:val="none" w:sz="0" w:space="0" w:color="auto"/>
                  </w:divBdr>
                  <w:divsChild>
                    <w:div w:id="313489346">
                      <w:marLeft w:val="0"/>
                      <w:marRight w:val="0"/>
                      <w:marTop w:val="0"/>
                      <w:marBottom w:val="0"/>
                      <w:divBdr>
                        <w:top w:val="none" w:sz="0" w:space="0" w:color="auto"/>
                        <w:left w:val="none" w:sz="0" w:space="0" w:color="auto"/>
                        <w:bottom w:val="none" w:sz="0" w:space="0" w:color="auto"/>
                        <w:right w:val="none" w:sz="0" w:space="0" w:color="auto"/>
                      </w:divBdr>
                      <w:divsChild>
                        <w:div w:id="23601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1981954">
      <w:bodyDiv w:val="1"/>
      <w:marLeft w:val="0"/>
      <w:marRight w:val="0"/>
      <w:marTop w:val="0"/>
      <w:marBottom w:val="0"/>
      <w:divBdr>
        <w:top w:val="none" w:sz="0" w:space="0" w:color="auto"/>
        <w:left w:val="none" w:sz="0" w:space="0" w:color="auto"/>
        <w:bottom w:val="none" w:sz="0" w:space="0" w:color="auto"/>
        <w:right w:val="none" w:sz="0" w:space="0" w:color="auto"/>
      </w:divBdr>
      <w:divsChild>
        <w:div w:id="133985501">
          <w:marLeft w:val="0"/>
          <w:marRight w:val="0"/>
          <w:marTop w:val="0"/>
          <w:marBottom w:val="0"/>
          <w:divBdr>
            <w:top w:val="none" w:sz="0" w:space="0" w:color="auto"/>
            <w:left w:val="none" w:sz="0" w:space="0" w:color="auto"/>
            <w:bottom w:val="none" w:sz="0" w:space="0" w:color="auto"/>
            <w:right w:val="none" w:sz="0" w:space="0" w:color="auto"/>
          </w:divBdr>
          <w:divsChild>
            <w:div w:id="1021710234">
              <w:marLeft w:val="0"/>
              <w:marRight w:val="0"/>
              <w:marTop w:val="0"/>
              <w:marBottom w:val="0"/>
              <w:divBdr>
                <w:top w:val="none" w:sz="0" w:space="0" w:color="auto"/>
                <w:left w:val="none" w:sz="0" w:space="0" w:color="auto"/>
                <w:bottom w:val="none" w:sz="0" w:space="0" w:color="auto"/>
                <w:right w:val="none" w:sz="0" w:space="0" w:color="auto"/>
              </w:divBdr>
              <w:divsChild>
                <w:div w:id="1107165309">
                  <w:marLeft w:val="0"/>
                  <w:marRight w:val="0"/>
                  <w:marTop w:val="0"/>
                  <w:marBottom w:val="0"/>
                  <w:divBdr>
                    <w:top w:val="none" w:sz="0" w:space="0" w:color="auto"/>
                    <w:left w:val="none" w:sz="0" w:space="0" w:color="auto"/>
                    <w:bottom w:val="none" w:sz="0" w:space="0" w:color="auto"/>
                    <w:right w:val="none" w:sz="0" w:space="0" w:color="auto"/>
                  </w:divBdr>
                  <w:divsChild>
                    <w:div w:id="1296326474">
                      <w:marLeft w:val="0"/>
                      <w:marRight w:val="0"/>
                      <w:marTop w:val="0"/>
                      <w:marBottom w:val="0"/>
                      <w:divBdr>
                        <w:top w:val="none" w:sz="0" w:space="0" w:color="auto"/>
                        <w:left w:val="none" w:sz="0" w:space="0" w:color="auto"/>
                        <w:bottom w:val="none" w:sz="0" w:space="0" w:color="auto"/>
                        <w:right w:val="none" w:sz="0" w:space="0" w:color="auto"/>
                      </w:divBdr>
                      <w:divsChild>
                        <w:div w:id="1987782921">
                          <w:marLeft w:val="0"/>
                          <w:marRight w:val="0"/>
                          <w:marTop w:val="0"/>
                          <w:marBottom w:val="0"/>
                          <w:divBdr>
                            <w:top w:val="none" w:sz="0" w:space="0" w:color="auto"/>
                            <w:left w:val="none" w:sz="0" w:space="0" w:color="auto"/>
                            <w:bottom w:val="none" w:sz="0" w:space="0" w:color="auto"/>
                            <w:right w:val="none" w:sz="0" w:space="0" w:color="auto"/>
                          </w:divBdr>
                          <w:divsChild>
                            <w:div w:id="956372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643307">
      <w:bodyDiv w:val="1"/>
      <w:marLeft w:val="0"/>
      <w:marRight w:val="0"/>
      <w:marTop w:val="0"/>
      <w:marBottom w:val="0"/>
      <w:divBdr>
        <w:top w:val="none" w:sz="0" w:space="0" w:color="auto"/>
        <w:left w:val="none" w:sz="0" w:space="0" w:color="auto"/>
        <w:bottom w:val="none" w:sz="0" w:space="0" w:color="auto"/>
        <w:right w:val="none" w:sz="0" w:space="0" w:color="auto"/>
      </w:divBdr>
    </w:div>
    <w:div w:id="2010861036">
      <w:bodyDiv w:val="1"/>
      <w:marLeft w:val="0"/>
      <w:marRight w:val="0"/>
      <w:marTop w:val="0"/>
      <w:marBottom w:val="0"/>
      <w:divBdr>
        <w:top w:val="none" w:sz="0" w:space="0" w:color="auto"/>
        <w:left w:val="none" w:sz="0" w:space="0" w:color="auto"/>
        <w:bottom w:val="none" w:sz="0" w:space="0" w:color="auto"/>
        <w:right w:val="none" w:sz="0" w:space="0" w:color="auto"/>
      </w:divBdr>
      <w:divsChild>
        <w:div w:id="550188249">
          <w:marLeft w:val="0"/>
          <w:marRight w:val="0"/>
          <w:marTop w:val="0"/>
          <w:marBottom w:val="0"/>
          <w:divBdr>
            <w:top w:val="none" w:sz="0" w:space="0" w:color="auto"/>
            <w:left w:val="none" w:sz="0" w:space="0" w:color="auto"/>
            <w:bottom w:val="none" w:sz="0" w:space="0" w:color="auto"/>
            <w:right w:val="none" w:sz="0" w:space="0" w:color="auto"/>
          </w:divBdr>
          <w:divsChild>
            <w:div w:id="330066045">
              <w:marLeft w:val="0"/>
              <w:marRight w:val="0"/>
              <w:marTop w:val="0"/>
              <w:marBottom w:val="0"/>
              <w:divBdr>
                <w:top w:val="none" w:sz="0" w:space="0" w:color="auto"/>
                <w:left w:val="none" w:sz="0" w:space="0" w:color="auto"/>
                <w:bottom w:val="none" w:sz="0" w:space="0" w:color="auto"/>
                <w:right w:val="none" w:sz="0" w:space="0" w:color="auto"/>
              </w:divBdr>
              <w:divsChild>
                <w:div w:id="175272698">
                  <w:marLeft w:val="0"/>
                  <w:marRight w:val="0"/>
                  <w:marTop w:val="0"/>
                  <w:marBottom w:val="0"/>
                  <w:divBdr>
                    <w:top w:val="none" w:sz="0" w:space="0" w:color="auto"/>
                    <w:left w:val="none" w:sz="0" w:space="0" w:color="auto"/>
                    <w:bottom w:val="none" w:sz="0" w:space="0" w:color="auto"/>
                    <w:right w:val="none" w:sz="0" w:space="0" w:color="auto"/>
                  </w:divBdr>
                  <w:divsChild>
                    <w:div w:id="1082290407">
                      <w:marLeft w:val="0"/>
                      <w:marRight w:val="0"/>
                      <w:marTop w:val="0"/>
                      <w:marBottom w:val="0"/>
                      <w:divBdr>
                        <w:top w:val="none" w:sz="0" w:space="0" w:color="auto"/>
                        <w:left w:val="none" w:sz="0" w:space="0" w:color="auto"/>
                        <w:bottom w:val="none" w:sz="0" w:space="0" w:color="auto"/>
                        <w:right w:val="none" w:sz="0" w:space="0" w:color="auto"/>
                      </w:divBdr>
                      <w:divsChild>
                        <w:div w:id="153820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normattiva.it/uri-res/N2Ls?urn:nir:presidente.repubblica:decreto:2001-06-06;380"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4184</Words>
  <Characters>23849</Characters>
  <Application>Microsoft Office Word</Application>
  <DocSecurity>0</DocSecurity>
  <Lines>198</Lines>
  <Paragraphs>55</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27978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m.sorrenti</dc:creator>
  <cp:lastModifiedBy>c.tedeschi</cp:lastModifiedBy>
  <cp:revision>3</cp:revision>
  <cp:lastPrinted>2017-11-16T12:16:00Z</cp:lastPrinted>
  <dcterms:created xsi:type="dcterms:W3CDTF">2017-12-12T11:02:00Z</dcterms:created>
  <dcterms:modified xsi:type="dcterms:W3CDTF">2017-12-12T12:13:00Z</dcterms:modified>
</cp:coreProperties>
</file>