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1829" w:rsidRDefault="00F61829"/>
    <w:p w:rsidR="00F61829" w:rsidRDefault="00F61829"/>
    <w:p w:rsidR="00F61829" w:rsidRDefault="00F61829"/>
    <w:p w:rsidR="00F61829" w:rsidRDefault="00F61829"/>
    <w:p w:rsidR="00F61829" w:rsidRPr="00153EB1" w:rsidRDefault="0074180F" w:rsidP="00764CF6">
      <w:pPr>
        <w:jc w:val="center"/>
        <w:rPr>
          <w:sz w:val="28"/>
          <w:szCs w:val="28"/>
        </w:rPr>
      </w:pPr>
      <w:r>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1" o:spid="_x0000_i1025" type="#_x0000_t75" style="width:55.5pt;height:78.75pt;visibility:visible">
            <v:imagedata r:id="rId9" o:title=""/>
          </v:shape>
        </w:pict>
      </w:r>
    </w:p>
    <w:p w:rsidR="00F61829" w:rsidRDefault="00F61829" w:rsidP="00764CF6">
      <w:pPr>
        <w:jc w:val="center"/>
        <w:rPr>
          <w:sz w:val="28"/>
          <w:szCs w:val="28"/>
        </w:rPr>
      </w:pPr>
    </w:p>
    <w:p w:rsidR="00F61829" w:rsidRDefault="00F61829" w:rsidP="00764CF6">
      <w:pPr>
        <w:jc w:val="center"/>
        <w:rPr>
          <w:sz w:val="28"/>
          <w:szCs w:val="28"/>
        </w:rPr>
      </w:pPr>
    </w:p>
    <w:p w:rsidR="00F61829" w:rsidRPr="00153EB1" w:rsidRDefault="00F61829" w:rsidP="00764CF6">
      <w:pPr>
        <w:jc w:val="center"/>
        <w:rPr>
          <w:sz w:val="28"/>
          <w:szCs w:val="28"/>
        </w:rPr>
      </w:pPr>
    </w:p>
    <w:p w:rsidR="00F61829" w:rsidRPr="002835E3" w:rsidRDefault="00F61829" w:rsidP="00764CF6">
      <w:pPr>
        <w:jc w:val="center"/>
        <w:rPr>
          <w:sz w:val="32"/>
          <w:szCs w:val="32"/>
        </w:rPr>
      </w:pPr>
      <w:r w:rsidRPr="002835E3">
        <w:rPr>
          <w:sz w:val="32"/>
          <w:szCs w:val="32"/>
        </w:rPr>
        <w:t xml:space="preserve">Nota per l’audizione dinanzi </w:t>
      </w:r>
    </w:p>
    <w:p w:rsidR="00F61829" w:rsidRDefault="00F61829" w:rsidP="00764CF6">
      <w:pPr>
        <w:jc w:val="center"/>
        <w:rPr>
          <w:sz w:val="32"/>
          <w:szCs w:val="32"/>
        </w:rPr>
      </w:pPr>
      <w:r w:rsidRPr="002835E3">
        <w:rPr>
          <w:sz w:val="32"/>
          <w:szCs w:val="32"/>
        </w:rPr>
        <w:t xml:space="preserve">alla </w:t>
      </w:r>
      <w:r>
        <w:rPr>
          <w:sz w:val="32"/>
          <w:szCs w:val="32"/>
        </w:rPr>
        <w:t xml:space="preserve">X </w:t>
      </w:r>
      <w:r w:rsidRPr="002835E3">
        <w:rPr>
          <w:sz w:val="32"/>
          <w:szCs w:val="32"/>
        </w:rPr>
        <w:t xml:space="preserve">Commissione </w:t>
      </w:r>
    </w:p>
    <w:p w:rsidR="00F61829" w:rsidRPr="002835E3" w:rsidRDefault="00F61829" w:rsidP="00764CF6">
      <w:pPr>
        <w:jc w:val="center"/>
        <w:rPr>
          <w:sz w:val="32"/>
          <w:szCs w:val="32"/>
        </w:rPr>
      </w:pPr>
      <w:r>
        <w:rPr>
          <w:sz w:val="32"/>
          <w:szCs w:val="32"/>
        </w:rPr>
        <w:t>(</w:t>
      </w:r>
      <w:r w:rsidRPr="002835E3">
        <w:rPr>
          <w:sz w:val="32"/>
          <w:szCs w:val="32"/>
        </w:rPr>
        <w:t>Attività produttive, Commercio e Turismo</w:t>
      </w:r>
      <w:r>
        <w:rPr>
          <w:sz w:val="32"/>
          <w:szCs w:val="32"/>
        </w:rPr>
        <w:t>)</w:t>
      </w:r>
      <w:r w:rsidRPr="002835E3">
        <w:rPr>
          <w:sz w:val="32"/>
          <w:szCs w:val="32"/>
        </w:rPr>
        <w:t xml:space="preserve"> </w:t>
      </w:r>
    </w:p>
    <w:p w:rsidR="00F61829" w:rsidRPr="002835E3" w:rsidRDefault="00F61829" w:rsidP="00764CF6">
      <w:pPr>
        <w:jc w:val="center"/>
        <w:rPr>
          <w:sz w:val="32"/>
          <w:szCs w:val="32"/>
        </w:rPr>
      </w:pPr>
      <w:r w:rsidRPr="002835E3">
        <w:rPr>
          <w:sz w:val="32"/>
          <w:szCs w:val="32"/>
        </w:rPr>
        <w:t>della Camera dei Deputati</w:t>
      </w:r>
    </w:p>
    <w:p w:rsidR="00F61829" w:rsidRPr="00153EB1" w:rsidRDefault="00F61829" w:rsidP="00764CF6">
      <w:pPr>
        <w:jc w:val="center"/>
        <w:rPr>
          <w:i/>
        </w:rPr>
      </w:pPr>
    </w:p>
    <w:p w:rsidR="00F61829" w:rsidRDefault="00F61829" w:rsidP="00764CF6">
      <w:pPr>
        <w:jc w:val="center"/>
        <w:rPr>
          <w:i/>
        </w:rPr>
      </w:pPr>
      <w:r>
        <w:rPr>
          <w:i/>
        </w:rPr>
        <w:t xml:space="preserve">30 aprile 2014 </w:t>
      </w: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rsidP="00764CF6">
      <w:pPr>
        <w:jc w:val="center"/>
        <w:rPr>
          <w:i/>
        </w:rPr>
      </w:pPr>
    </w:p>
    <w:p w:rsidR="00F61829" w:rsidRDefault="00F61829">
      <w:pPr>
        <w:spacing w:after="200" w:line="276" w:lineRule="auto"/>
        <w:rPr>
          <w:i/>
        </w:rPr>
      </w:pPr>
      <w:r>
        <w:rPr>
          <w:i/>
        </w:rPr>
        <w:br w:type="page"/>
      </w:r>
    </w:p>
    <w:p w:rsidR="00F61829" w:rsidRPr="00153EB1" w:rsidRDefault="00F61829" w:rsidP="00764CF6">
      <w:pPr>
        <w:jc w:val="center"/>
        <w:rPr>
          <w:i/>
        </w:rPr>
      </w:pPr>
    </w:p>
    <w:p w:rsidR="00F61829" w:rsidRPr="00A37A3F" w:rsidRDefault="00F61829" w:rsidP="00D27EEF">
      <w:pPr>
        <w:pStyle w:val="NormaleWeb"/>
        <w:numPr>
          <w:ilvl w:val="0"/>
          <w:numId w:val="2"/>
        </w:numPr>
        <w:spacing w:before="0" w:beforeAutospacing="0" w:after="120" w:afterAutospacing="0" w:line="312" w:lineRule="auto"/>
        <w:rPr>
          <w:rFonts w:ascii="Bookman Old Style" w:hAnsi="Bookman Old Style" w:cs="Arial"/>
          <w:b/>
          <w:caps/>
          <w:sz w:val="22"/>
          <w:szCs w:val="22"/>
        </w:rPr>
      </w:pPr>
      <w:r w:rsidRPr="00A37A3F">
        <w:rPr>
          <w:rFonts w:ascii="Bookman Old Style" w:hAnsi="Bookman Old Style" w:cs="Arial"/>
          <w:b/>
          <w:caps/>
          <w:sz w:val="22"/>
          <w:szCs w:val="22"/>
        </w:rPr>
        <w:t xml:space="preserve">Premessa </w:t>
      </w:r>
    </w:p>
    <w:p w:rsidR="00F61829" w:rsidRDefault="00F61829" w:rsidP="00B02B26">
      <w:pPr>
        <w:pStyle w:val="NormaleWeb"/>
        <w:spacing w:before="0" w:beforeAutospacing="0" w:after="120" w:afterAutospacing="0" w:line="312" w:lineRule="auto"/>
        <w:ind w:firstLine="360"/>
        <w:rPr>
          <w:rFonts w:ascii="Bookman Old Style" w:hAnsi="Bookman Old Style" w:cs="Arial"/>
          <w:sz w:val="22"/>
          <w:szCs w:val="22"/>
        </w:rPr>
      </w:pPr>
      <w:r w:rsidRPr="003C3C37">
        <w:rPr>
          <w:rFonts w:ascii="Bookman Old Style" w:hAnsi="Bookman Old Style" w:cs="Arial"/>
          <w:sz w:val="22"/>
          <w:szCs w:val="22"/>
        </w:rPr>
        <w:t xml:space="preserve">L’Unione </w:t>
      </w:r>
      <w:r>
        <w:rPr>
          <w:rFonts w:ascii="Bookman Old Style" w:hAnsi="Bookman Old Style" w:cs="Arial"/>
          <w:sz w:val="22"/>
          <w:szCs w:val="22"/>
        </w:rPr>
        <w:t>e</w:t>
      </w:r>
      <w:r w:rsidRPr="003C3C37">
        <w:rPr>
          <w:rFonts w:ascii="Bookman Old Style" w:hAnsi="Bookman Old Style" w:cs="Arial"/>
          <w:sz w:val="22"/>
          <w:szCs w:val="22"/>
        </w:rPr>
        <w:t xml:space="preserve">uropea si conferma la prima destinazione turistica </w:t>
      </w:r>
      <w:r>
        <w:rPr>
          <w:rFonts w:ascii="Bookman Old Style" w:hAnsi="Bookman Old Style" w:cs="Arial"/>
          <w:sz w:val="22"/>
          <w:szCs w:val="22"/>
        </w:rPr>
        <w:t xml:space="preserve">al mondo. </w:t>
      </w:r>
    </w:p>
    <w:p w:rsidR="00F61829" w:rsidRDefault="00F61829" w:rsidP="00B02B26">
      <w:pPr>
        <w:pStyle w:val="NormaleWeb"/>
        <w:spacing w:before="0" w:beforeAutospacing="0" w:after="120" w:afterAutospacing="0" w:line="312" w:lineRule="auto"/>
        <w:ind w:firstLine="360"/>
        <w:rPr>
          <w:rFonts w:ascii="Bookman Old Style" w:hAnsi="Bookman Old Style" w:cs="Arial"/>
          <w:sz w:val="22"/>
          <w:szCs w:val="22"/>
        </w:rPr>
      </w:pPr>
      <w:r>
        <w:rPr>
          <w:rFonts w:ascii="Bookman Old Style" w:hAnsi="Bookman Old Style" w:cs="Arial"/>
          <w:sz w:val="22"/>
          <w:szCs w:val="22"/>
        </w:rPr>
        <w:t xml:space="preserve">Il turismo rappresenta il 10% del PIL e il 12% dell’occupazione totale, è quindi un settore di cruciale importanza per la crescita e l’integrazione, nonché uno strumento essenziale per rafforzare, diffondere e promuovere la nostra cultura e la nostra identità a livello mondiale. </w:t>
      </w:r>
    </w:p>
    <w:p w:rsidR="00F61829" w:rsidRDefault="00F61829" w:rsidP="00B02B26">
      <w:pPr>
        <w:pStyle w:val="NormaleWeb"/>
        <w:spacing w:before="0" w:beforeAutospacing="0" w:after="120" w:afterAutospacing="0" w:line="312" w:lineRule="auto"/>
        <w:ind w:firstLine="360"/>
        <w:rPr>
          <w:rFonts w:ascii="Bookman Old Style" w:hAnsi="Bookman Old Style" w:cs="Arial"/>
          <w:sz w:val="22"/>
          <w:szCs w:val="22"/>
        </w:rPr>
      </w:pPr>
      <w:r>
        <w:rPr>
          <w:rFonts w:ascii="Bookman Old Style" w:hAnsi="Bookman Old Style" w:cs="Arial"/>
          <w:sz w:val="22"/>
          <w:szCs w:val="22"/>
        </w:rPr>
        <w:t xml:space="preserve">Con l’entrata in vigore del Trattato di Lisbona, il 1° dicembre 2009, sono finalmente state poste le basi di una politica europea del turismo, puntando sui fattori che ne determinano la competitività e assicurando allo stesso tempo uno sviluppo sostenibile del settore. </w:t>
      </w:r>
    </w:p>
    <w:p w:rsidR="00F61829" w:rsidRPr="00A77485" w:rsidRDefault="00F61829" w:rsidP="00B02B26">
      <w:pPr>
        <w:pStyle w:val="NormaleWeb"/>
        <w:spacing w:before="0" w:beforeAutospacing="0" w:after="120" w:afterAutospacing="0" w:line="312" w:lineRule="auto"/>
        <w:ind w:firstLine="360"/>
        <w:rPr>
          <w:rFonts w:ascii="Bookman Old Style" w:hAnsi="Bookman Old Style" w:cs="Arial"/>
          <w:sz w:val="22"/>
          <w:szCs w:val="22"/>
        </w:rPr>
      </w:pPr>
      <w:r>
        <w:rPr>
          <w:rFonts w:ascii="Bookman Old Style" w:hAnsi="Bookman Old Style" w:cs="Arial"/>
          <w:sz w:val="22"/>
          <w:szCs w:val="22"/>
        </w:rPr>
        <w:t>L</w:t>
      </w:r>
      <w:r w:rsidRPr="00A77485">
        <w:rPr>
          <w:rFonts w:ascii="Bookman Old Style" w:hAnsi="Bookman Old Style" w:cs="Arial"/>
          <w:sz w:val="22"/>
          <w:szCs w:val="22"/>
        </w:rPr>
        <w:t xml:space="preserve">'importanza del turismo è stata </w:t>
      </w:r>
      <w:r>
        <w:rPr>
          <w:rFonts w:ascii="Bookman Old Style" w:hAnsi="Bookman Old Style" w:cs="Arial"/>
          <w:sz w:val="22"/>
          <w:szCs w:val="22"/>
        </w:rPr>
        <w:t xml:space="preserve">riconosciuta e </w:t>
      </w:r>
      <w:r w:rsidRPr="00A77485">
        <w:rPr>
          <w:rFonts w:ascii="Bookman Old Style" w:hAnsi="Bookman Old Style" w:cs="Arial"/>
          <w:sz w:val="22"/>
          <w:szCs w:val="22"/>
        </w:rPr>
        <w:t>l'Unione è ormai competente a sostenere, coordinare e completare l'azione degli Stati membri in quest</w:t>
      </w:r>
      <w:r>
        <w:rPr>
          <w:rFonts w:ascii="Bookman Old Style" w:hAnsi="Bookman Old Style" w:cs="Arial"/>
          <w:sz w:val="22"/>
          <w:szCs w:val="22"/>
        </w:rPr>
        <w:t>’ambito</w:t>
      </w:r>
      <w:r w:rsidRPr="00A77485">
        <w:rPr>
          <w:rFonts w:ascii="Bookman Old Style" w:hAnsi="Bookman Old Style" w:cs="Arial"/>
          <w:sz w:val="22"/>
          <w:szCs w:val="22"/>
        </w:rPr>
        <w:t>. Si tratta di un sicuro</w:t>
      </w:r>
      <w:r>
        <w:rPr>
          <w:rFonts w:ascii="Bookman Old Style" w:hAnsi="Bookman Old Style" w:cs="Arial"/>
          <w:sz w:val="22"/>
          <w:szCs w:val="22"/>
        </w:rPr>
        <w:t xml:space="preserve"> </w:t>
      </w:r>
      <w:r w:rsidRPr="00A77485">
        <w:rPr>
          <w:rFonts w:ascii="Bookman Old Style" w:hAnsi="Bookman Old Style" w:cs="Arial"/>
          <w:sz w:val="22"/>
          <w:szCs w:val="22"/>
        </w:rPr>
        <w:t xml:space="preserve">passo avanti, che fornisce una chiarificazione necessaria e permette di stabilire un </w:t>
      </w:r>
      <w:r>
        <w:rPr>
          <w:rFonts w:ascii="Bookman Old Style" w:hAnsi="Bookman Old Style" w:cs="Arial"/>
          <w:sz w:val="22"/>
          <w:szCs w:val="22"/>
        </w:rPr>
        <w:t>q</w:t>
      </w:r>
      <w:r w:rsidRPr="00A77485">
        <w:rPr>
          <w:rFonts w:ascii="Bookman Old Style" w:hAnsi="Bookman Old Style" w:cs="Arial"/>
          <w:sz w:val="22"/>
          <w:szCs w:val="22"/>
        </w:rPr>
        <w:t xml:space="preserve">uadro d'azione coerente. </w:t>
      </w:r>
      <w:r>
        <w:rPr>
          <w:rFonts w:ascii="Bookman Old Style" w:hAnsi="Bookman Old Style" w:cs="Arial"/>
          <w:sz w:val="22"/>
          <w:szCs w:val="22"/>
        </w:rPr>
        <w:t>C</w:t>
      </w:r>
      <w:r w:rsidRPr="00A77485">
        <w:rPr>
          <w:rFonts w:ascii="Bookman Old Style" w:hAnsi="Bookman Old Style" w:cs="Arial"/>
          <w:sz w:val="22"/>
          <w:szCs w:val="22"/>
        </w:rPr>
        <w:t xml:space="preserve">ome sancito dall'articolo 195 del TFUE, l'Unione europea può quindi: </w:t>
      </w:r>
    </w:p>
    <w:p w:rsidR="00F61829" w:rsidRPr="00A77485" w:rsidRDefault="00F61829" w:rsidP="00B02B26">
      <w:pPr>
        <w:pStyle w:val="NormaleWeb"/>
        <w:spacing w:after="120" w:line="312" w:lineRule="auto"/>
        <w:ind w:left="360"/>
        <w:rPr>
          <w:rFonts w:ascii="Bookman Old Style" w:hAnsi="Bookman Old Style" w:cs="Arial"/>
          <w:sz w:val="22"/>
          <w:szCs w:val="22"/>
        </w:rPr>
      </w:pPr>
      <w:r w:rsidRPr="00A77485">
        <w:rPr>
          <w:rFonts w:ascii="Bookman Old Style" w:hAnsi="Bookman Old Style" w:cs="Arial"/>
          <w:sz w:val="22"/>
          <w:szCs w:val="22"/>
        </w:rPr>
        <w:t xml:space="preserve">• promuovere la competitività delle imprese in tale settore e incoraggiare la creazione di un ambiente propizio al loro sviluppo; </w:t>
      </w:r>
    </w:p>
    <w:p w:rsidR="00F61829" w:rsidRPr="00A77485" w:rsidRDefault="00F61829" w:rsidP="00B02B26">
      <w:pPr>
        <w:pStyle w:val="NormaleWeb"/>
        <w:spacing w:after="120" w:line="312" w:lineRule="auto"/>
        <w:ind w:left="360"/>
        <w:rPr>
          <w:rFonts w:ascii="Bookman Old Style" w:hAnsi="Bookman Old Style" w:cs="Arial"/>
          <w:sz w:val="22"/>
          <w:szCs w:val="22"/>
        </w:rPr>
      </w:pPr>
      <w:r w:rsidRPr="00A77485">
        <w:rPr>
          <w:rFonts w:ascii="Bookman Old Style" w:hAnsi="Bookman Old Style" w:cs="Arial"/>
          <w:sz w:val="22"/>
          <w:szCs w:val="22"/>
        </w:rPr>
        <w:t xml:space="preserve">• favorire la cooperazione tra Stati membri, in particolare attraverso lo scambio delle buone pratiche; </w:t>
      </w:r>
    </w:p>
    <w:p w:rsidR="00F61829" w:rsidRPr="00A77485" w:rsidRDefault="00F61829" w:rsidP="00B02B26">
      <w:pPr>
        <w:pStyle w:val="NormaleWeb"/>
        <w:spacing w:after="120" w:line="312" w:lineRule="auto"/>
        <w:ind w:left="360"/>
        <w:rPr>
          <w:rFonts w:ascii="Bookman Old Style" w:hAnsi="Bookman Old Style" w:cs="Arial"/>
          <w:sz w:val="22"/>
          <w:szCs w:val="22"/>
        </w:rPr>
      </w:pPr>
      <w:r w:rsidRPr="00A77485">
        <w:rPr>
          <w:rFonts w:ascii="Bookman Old Style" w:hAnsi="Bookman Old Style" w:cs="Arial"/>
          <w:sz w:val="22"/>
          <w:szCs w:val="22"/>
        </w:rPr>
        <w:t xml:space="preserve">• sviluppare un approccio integrato al turismo garantendo che questo settore sia preso in considerazione nelle sue altre politiche. </w:t>
      </w:r>
    </w:p>
    <w:p w:rsidR="00F61829" w:rsidRDefault="00F61829" w:rsidP="00B02B26">
      <w:pPr>
        <w:pStyle w:val="NormaleWeb"/>
        <w:spacing w:after="120" w:line="312" w:lineRule="auto"/>
        <w:ind w:firstLine="360"/>
        <w:rPr>
          <w:rFonts w:ascii="Bookman Old Style" w:hAnsi="Bookman Old Style" w:cs="Arial"/>
          <w:sz w:val="22"/>
          <w:szCs w:val="22"/>
        </w:rPr>
      </w:pPr>
      <w:r w:rsidRPr="00766DFD">
        <w:rPr>
          <w:rFonts w:ascii="Bookman Old Style" w:hAnsi="Bookman Old Style" w:cs="Arial"/>
          <w:sz w:val="22"/>
          <w:szCs w:val="22"/>
        </w:rPr>
        <w:t xml:space="preserve">La politica del turismo è </w:t>
      </w:r>
      <w:r>
        <w:rPr>
          <w:rFonts w:ascii="Bookman Old Style" w:hAnsi="Bookman Old Style" w:cs="Arial"/>
          <w:sz w:val="22"/>
          <w:szCs w:val="22"/>
        </w:rPr>
        <w:t xml:space="preserve">infatti </w:t>
      </w:r>
      <w:r w:rsidRPr="00766DFD">
        <w:rPr>
          <w:rFonts w:ascii="Bookman Old Style" w:hAnsi="Bookman Old Style" w:cs="Arial"/>
          <w:sz w:val="22"/>
          <w:szCs w:val="22"/>
        </w:rPr>
        <w:t xml:space="preserve">caratterizzata </w:t>
      </w:r>
      <w:r>
        <w:rPr>
          <w:rFonts w:ascii="Bookman Old Style" w:hAnsi="Bookman Old Style" w:cs="Arial"/>
          <w:sz w:val="22"/>
          <w:szCs w:val="22"/>
        </w:rPr>
        <w:t>da un’estrema</w:t>
      </w:r>
      <w:r w:rsidRPr="00766DFD">
        <w:rPr>
          <w:rFonts w:ascii="Bookman Old Style" w:hAnsi="Bookman Old Style" w:cs="Arial"/>
          <w:sz w:val="22"/>
          <w:szCs w:val="22"/>
        </w:rPr>
        <w:t xml:space="preserve"> trasversal</w:t>
      </w:r>
      <w:r>
        <w:rPr>
          <w:rFonts w:ascii="Bookman Old Style" w:hAnsi="Bookman Old Style" w:cs="Arial"/>
          <w:sz w:val="22"/>
          <w:szCs w:val="22"/>
        </w:rPr>
        <w:t>ità</w:t>
      </w:r>
      <w:r w:rsidRPr="00766DFD">
        <w:rPr>
          <w:rFonts w:ascii="Bookman Old Style" w:hAnsi="Bookman Old Style" w:cs="Arial"/>
          <w:sz w:val="22"/>
          <w:szCs w:val="22"/>
        </w:rPr>
        <w:t>. Numerose altre politiche europee hanno ripercussioni dirette o indirette sul turismo.</w:t>
      </w:r>
      <w:r>
        <w:rPr>
          <w:rFonts w:ascii="Bookman Old Style" w:hAnsi="Bookman Old Style" w:cs="Arial"/>
          <w:sz w:val="22"/>
          <w:szCs w:val="22"/>
        </w:rPr>
        <w:t xml:space="preserve"> </w:t>
      </w:r>
      <w:r w:rsidRPr="00766DFD">
        <w:rPr>
          <w:rFonts w:ascii="Bookman Old Style" w:hAnsi="Bookman Old Style" w:cs="Arial"/>
          <w:sz w:val="22"/>
          <w:szCs w:val="22"/>
        </w:rPr>
        <w:t xml:space="preserve">Questo vale soprattutto per le politiche dei trasporti (mobilità sostenibile, diritti e sicurezza dei passeggeri e qualità dei trasporti), della concorrenza (questioni relative alla concentrazione delle imprese, in particolare per quanto riguarda l'offerta turistica on line, all'integrazione verticale e agli aiuti statali), del mercato interno (libertà di stabilimento e di prestazione dei servizi connessi al turismo, promozione della qualità dei servizi, sviluppo del commercio elettronico), della fiscalità (ostacoli di natura fiscale al corretto funzionamento del mercato interno, trattamento fiscale delle imprese del settore, ad esempio </w:t>
      </w:r>
      <w:r>
        <w:rPr>
          <w:rFonts w:ascii="Bookman Old Style" w:hAnsi="Bookman Old Style" w:cs="Arial"/>
          <w:sz w:val="22"/>
          <w:szCs w:val="22"/>
        </w:rPr>
        <w:t>d</w:t>
      </w:r>
      <w:r w:rsidRPr="00766DFD">
        <w:rPr>
          <w:rFonts w:ascii="Bookman Old Style" w:hAnsi="Bookman Old Style" w:cs="Arial"/>
          <w:sz w:val="22"/>
          <w:szCs w:val="22"/>
        </w:rPr>
        <w:t>elle agenzie di viaggi, agevolazioni fiscali), della tutela dei consumatori (diritti conseguenti alla firma dei contratti, pratiche commerciali sleali, vendite a distanza), dell'ambiente, dell'occupazione, della formazione, della cultura o per le politiche di sviluppo regionale e rurale.</w:t>
      </w:r>
    </w:p>
    <w:p w:rsidR="00F61829" w:rsidRDefault="00F61829" w:rsidP="00B02B26">
      <w:pPr>
        <w:pStyle w:val="NormaleWeb"/>
        <w:spacing w:after="120" w:line="312" w:lineRule="auto"/>
        <w:ind w:firstLine="360"/>
        <w:rPr>
          <w:rFonts w:ascii="Bookman Old Style" w:hAnsi="Bookman Old Style" w:cs="Arial"/>
          <w:sz w:val="22"/>
          <w:szCs w:val="22"/>
        </w:rPr>
      </w:pPr>
      <w:r>
        <w:rPr>
          <w:rFonts w:ascii="Bookman Old Style" w:hAnsi="Bookman Old Style" w:cs="Arial"/>
          <w:sz w:val="22"/>
          <w:szCs w:val="22"/>
        </w:rPr>
        <w:lastRenderedPageBreak/>
        <w:t>Di conseguenza molteplici debbono essere le azioni da porre in essere e gli strumenti finanziari e non a sostegno della politica turistica europea.</w:t>
      </w:r>
    </w:p>
    <w:p w:rsidR="00F61829" w:rsidRPr="00A77485" w:rsidRDefault="00F61829" w:rsidP="00B02B26">
      <w:pPr>
        <w:pStyle w:val="NormaleWeb"/>
        <w:spacing w:after="120" w:line="312" w:lineRule="auto"/>
        <w:ind w:firstLine="360"/>
        <w:rPr>
          <w:rFonts w:ascii="Bookman Old Style" w:hAnsi="Bookman Old Style" w:cs="Arial"/>
          <w:sz w:val="22"/>
          <w:szCs w:val="22"/>
        </w:rPr>
      </w:pPr>
      <w:r w:rsidRPr="00A77485">
        <w:rPr>
          <w:rFonts w:ascii="Bookman Old Style" w:hAnsi="Bookman Old Style" w:cs="Arial"/>
          <w:sz w:val="22"/>
          <w:szCs w:val="22"/>
        </w:rPr>
        <w:t xml:space="preserve">Tutti i </w:t>
      </w:r>
      <w:r>
        <w:rPr>
          <w:rFonts w:ascii="Bookman Old Style" w:hAnsi="Bookman Old Style" w:cs="Arial"/>
          <w:sz w:val="22"/>
          <w:szCs w:val="22"/>
        </w:rPr>
        <w:t>P</w:t>
      </w:r>
      <w:r w:rsidRPr="00A77485">
        <w:rPr>
          <w:rFonts w:ascii="Bookman Old Style" w:hAnsi="Bookman Old Style" w:cs="Arial"/>
          <w:sz w:val="22"/>
          <w:szCs w:val="22"/>
        </w:rPr>
        <w:t>aesi dell'Unione europea beneficeranno di queste azioni dal momento che ciascuno di essi, in misura diversa, ha interesse a sviluppare il proprio potenziale turistico.</w:t>
      </w:r>
    </w:p>
    <w:p w:rsidR="00F61829" w:rsidRDefault="00F61829" w:rsidP="00B02B26">
      <w:pPr>
        <w:pStyle w:val="NormaleWeb"/>
        <w:spacing w:before="0" w:beforeAutospacing="0" w:after="120" w:afterAutospacing="0" w:line="312" w:lineRule="auto"/>
        <w:ind w:firstLine="360"/>
        <w:rPr>
          <w:rFonts w:ascii="Bookman Old Style" w:hAnsi="Bookman Old Style" w:cs="Arial"/>
          <w:sz w:val="22"/>
          <w:szCs w:val="22"/>
        </w:rPr>
      </w:pPr>
      <w:r>
        <w:rPr>
          <w:rFonts w:ascii="Bookman Old Style" w:hAnsi="Bookman Old Style" w:cs="Arial"/>
          <w:sz w:val="22"/>
          <w:szCs w:val="22"/>
        </w:rPr>
        <w:t>Anche nel nostro Paese il</w:t>
      </w:r>
      <w:r w:rsidRPr="00F63756">
        <w:rPr>
          <w:rFonts w:ascii="Bookman Old Style" w:hAnsi="Bookman Old Style" w:cs="Arial"/>
          <w:sz w:val="22"/>
          <w:szCs w:val="22"/>
        </w:rPr>
        <w:t xml:space="preserve"> potenziale di sviluppo del turismo nel medio-lungo periodo rimane abba</w:t>
      </w:r>
      <w:r>
        <w:rPr>
          <w:rFonts w:ascii="Bookman Old Style" w:hAnsi="Bookman Old Style" w:cs="Arial"/>
          <w:sz w:val="22"/>
          <w:szCs w:val="22"/>
        </w:rPr>
        <w:t xml:space="preserve">stanza alto nonostante la crisi </w:t>
      </w:r>
      <w:r w:rsidRPr="00F63756">
        <w:rPr>
          <w:rFonts w:ascii="Bookman Old Style" w:hAnsi="Bookman Old Style" w:cs="Arial"/>
          <w:sz w:val="22"/>
          <w:szCs w:val="22"/>
        </w:rPr>
        <w:t xml:space="preserve">economico finanziaria </w:t>
      </w:r>
      <w:r>
        <w:rPr>
          <w:rFonts w:ascii="Bookman Old Style" w:hAnsi="Bookman Old Style" w:cs="Arial"/>
          <w:sz w:val="22"/>
          <w:szCs w:val="22"/>
        </w:rPr>
        <w:t>in atto</w:t>
      </w:r>
      <w:r w:rsidRPr="00F63756">
        <w:rPr>
          <w:rFonts w:ascii="Bookman Old Style" w:hAnsi="Bookman Old Style" w:cs="Arial"/>
          <w:sz w:val="22"/>
          <w:szCs w:val="22"/>
        </w:rPr>
        <w:t xml:space="preserve">. </w:t>
      </w:r>
    </w:p>
    <w:p w:rsidR="00F61829" w:rsidRPr="00560998" w:rsidRDefault="00F61829" w:rsidP="00B02B26">
      <w:pPr>
        <w:pStyle w:val="NormaleWeb"/>
        <w:spacing w:after="120" w:line="312" w:lineRule="auto"/>
        <w:ind w:firstLine="360"/>
        <w:rPr>
          <w:rFonts w:ascii="Bookman Old Style" w:hAnsi="Bookman Old Style" w:cs="Arial"/>
          <w:sz w:val="22"/>
          <w:szCs w:val="22"/>
        </w:rPr>
      </w:pPr>
      <w:r w:rsidRPr="00560998">
        <w:rPr>
          <w:rFonts w:ascii="Bookman Old Style" w:hAnsi="Bookman Old Style" w:cs="Arial"/>
          <w:sz w:val="22"/>
          <w:szCs w:val="22"/>
        </w:rPr>
        <w:t xml:space="preserve">L’Italia purtroppo sembra incapace di cogliere questa opportunità. Secondo il Country Brand Index, la classifica annuale dei brand Paese, l’Italia in un anno ha perso 5 posizioni scendendo al 15°posto. L’Italia perde posizioni su molti fronti, eppure l’analisi stilata da Future Brand, nell'indicatore che prende in esame Storia, Arte e Cultura assieme a Autenticità e Bellezza Naturale, ci vede al primo posto, ed é opportuno sottolinearlo bene: siamo primi da sempre, da quando cioè esiste questa classifica che prende in esame il brand Paese di ben 118 nazioni, giunta all'ottava edizione. </w:t>
      </w:r>
    </w:p>
    <w:p w:rsidR="00F61829" w:rsidRPr="00560998" w:rsidRDefault="004C1319" w:rsidP="00B02B26">
      <w:pPr>
        <w:pStyle w:val="NormaleWeb"/>
        <w:spacing w:after="120" w:line="312" w:lineRule="auto"/>
        <w:ind w:firstLine="360"/>
        <w:rPr>
          <w:rFonts w:ascii="Bookman Old Style" w:hAnsi="Bookman Old Style" w:cs="Arial"/>
          <w:sz w:val="22"/>
          <w:szCs w:val="22"/>
        </w:rPr>
      </w:pPr>
      <w:r>
        <w:rPr>
          <w:rFonts w:ascii="Bookman Old Style" w:hAnsi="Bookman Old Style" w:cs="Arial"/>
          <w:sz w:val="22"/>
          <w:szCs w:val="22"/>
        </w:rPr>
        <w:t xml:space="preserve">Nell’ </w:t>
      </w:r>
      <w:r w:rsidR="00F61829" w:rsidRPr="00560998">
        <w:rPr>
          <w:rFonts w:ascii="Bookman Old Style" w:hAnsi="Bookman Old Style" w:cs="Arial"/>
          <w:sz w:val="22"/>
          <w:szCs w:val="22"/>
        </w:rPr>
        <w:t xml:space="preserve">immaginario collettivo globale l’Italia è una meta molto attrattiva. </w:t>
      </w:r>
    </w:p>
    <w:p w:rsidR="00F61829" w:rsidRPr="00560998" w:rsidRDefault="00F61829" w:rsidP="00B02B26">
      <w:pPr>
        <w:pStyle w:val="NormaleWeb"/>
        <w:spacing w:after="120" w:line="312" w:lineRule="auto"/>
        <w:ind w:firstLine="360"/>
        <w:rPr>
          <w:rFonts w:ascii="Bookman Old Style" w:hAnsi="Bookman Old Style" w:cs="Arial"/>
          <w:sz w:val="22"/>
          <w:szCs w:val="22"/>
        </w:rPr>
      </w:pPr>
      <w:r w:rsidRPr="00560998">
        <w:rPr>
          <w:rFonts w:ascii="Bookman Old Style" w:hAnsi="Bookman Old Style" w:cs="Arial"/>
          <w:sz w:val="22"/>
          <w:szCs w:val="22"/>
        </w:rPr>
        <w:t>Appare evidente che, al di là della classifica, “qualcosa non va” nella gestione turistica del nostro Paese, se la “bellezza diffusa italica” (grandi città d’arte, ma anche costa, borghi sparsi di ineguagliabile bellezza…) non riesce a “tenere il passo” pur avendo un patrimonio di bellezza che non dovrebbe avere pari con nessun altro paese al mondo.</w:t>
      </w:r>
    </w:p>
    <w:p w:rsidR="00F61829" w:rsidRPr="00560998" w:rsidRDefault="00F61829" w:rsidP="00B02B26">
      <w:pPr>
        <w:pStyle w:val="NormaleWeb"/>
        <w:spacing w:after="120" w:line="312" w:lineRule="auto"/>
        <w:ind w:firstLine="360"/>
        <w:rPr>
          <w:rFonts w:ascii="Bookman Old Style" w:hAnsi="Bookman Old Style" w:cs="Arial"/>
          <w:sz w:val="22"/>
          <w:szCs w:val="22"/>
        </w:rPr>
      </w:pPr>
      <w:r w:rsidRPr="004C1319">
        <w:rPr>
          <w:rFonts w:ascii="Bookman Old Style" w:hAnsi="Bookman Old Style" w:cs="Arial"/>
          <w:sz w:val="22"/>
          <w:szCs w:val="22"/>
        </w:rPr>
        <w:t>Mancano politiche attente che riescano a colmare il gap fra il primo posto del nostro Paese come icona di bellezza e il 15esimo posto della performance del Brand Italia</w:t>
      </w:r>
      <w:r w:rsidRPr="00560998">
        <w:rPr>
          <w:rFonts w:ascii="Bookman Old Style" w:hAnsi="Bookman Old Style" w:cs="Arial"/>
          <w:sz w:val="22"/>
          <w:szCs w:val="22"/>
        </w:rPr>
        <w:t>, come notorietà e posizionamento.</w:t>
      </w:r>
    </w:p>
    <w:p w:rsidR="00F61829" w:rsidRPr="00560998" w:rsidRDefault="00F61829" w:rsidP="00B02B26">
      <w:pPr>
        <w:pStyle w:val="NormaleWeb"/>
        <w:spacing w:after="120" w:line="312" w:lineRule="auto"/>
        <w:ind w:firstLine="360"/>
        <w:rPr>
          <w:rFonts w:ascii="Bookman Old Style" w:hAnsi="Bookman Old Style" w:cs="Arial"/>
          <w:sz w:val="22"/>
          <w:szCs w:val="22"/>
        </w:rPr>
      </w:pPr>
      <w:r w:rsidRPr="00560998">
        <w:rPr>
          <w:rFonts w:ascii="Bookman Old Style" w:hAnsi="Bookman Old Style" w:cs="Arial"/>
          <w:sz w:val="22"/>
          <w:szCs w:val="22"/>
        </w:rPr>
        <w:t xml:space="preserve">Abbiamo insomma </w:t>
      </w:r>
      <w:r>
        <w:rPr>
          <w:rFonts w:ascii="Bookman Old Style" w:hAnsi="Bookman Old Style" w:cs="Arial"/>
          <w:sz w:val="22"/>
          <w:szCs w:val="22"/>
        </w:rPr>
        <w:t xml:space="preserve">l’ </w:t>
      </w:r>
      <w:r w:rsidRPr="00560998">
        <w:rPr>
          <w:rFonts w:ascii="Bookman Old Style" w:hAnsi="Bookman Old Style" w:cs="Arial"/>
          <w:sz w:val="22"/>
          <w:szCs w:val="22"/>
        </w:rPr>
        <w:t>impressione che il turismo stenti ancora - al contrario del suo reale peso economico e sociale e delle nostre enormi potenzialità come Paese - ad essere considerato e gestito come un’industria strategica, attraverso una programmazione nazionale adeguata ed efficace, che tenga nel giusto conto le esigenze e le aspettative dei territori che fanno numeri e fatturati veri, che creano ricchezza, benessere e crescita sociale.</w:t>
      </w:r>
    </w:p>
    <w:p w:rsidR="00F61829" w:rsidRPr="00560998" w:rsidRDefault="00F61829" w:rsidP="00B02B26">
      <w:pPr>
        <w:pStyle w:val="NormaleWeb"/>
        <w:spacing w:after="120" w:line="312" w:lineRule="auto"/>
        <w:ind w:firstLine="360"/>
        <w:rPr>
          <w:rFonts w:ascii="Bookman Old Style" w:hAnsi="Bookman Old Style" w:cs="Arial"/>
          <w:sz w:val="22"/>
          <w:szCs w:val="22"/>
        </w:rPr>
      </w:pPr>
      <w:r w:rsidRPr="00560998">
        <w:rPr>
          <w:rFonts w:ascii="Bookman Old Style" w:hAnsi="Bookman Old Style" w:cs="Arial"/>
          <w:sz w:val="22"/>
          <w:szCs w:val="22"/>
        </w:rPr>
        <w:t>Serve un cambio di passo dell’Italia in materia di politiche per il turismo</w:t>
      </w:r>
      <w:r>
        <w:rPr>
          <w:rFonts w:ascii="Bookman Old Style" w:hAnsi="Bookman Old Style" w:cs="Arial"/>
          <w:sz w:val="22"/>
          <w:szCs w:val="22"/>
        </w:rPr>
        <w:t>.</w:t>
      </w:r>
    </w:p>
    <w:p w:rsidR="00F61829" w:rsidRPr="00F63756" w:rsidRDefault="00F61829" w:rsidP="00B02B26">
      <w:pPr>
        <w:pStyle w:val="NormaleWeb"/>
        <w:spacing w:before="0" w:beforeAutospacing="0" w:after="120" w:afterAutospacing="0" w:line="312" w:lineRule="auto"/>
        <w:ind w:firstLine="360"/>
        <w:rPr>
          <w:rFonts w:ascii="Bookman Old Style" w:hAnsi="Bookman Old Style" w:cs="Arial"/>
          <w:sz w:val="22"/>
          <w:szCs w:val="22"/>
        </w:rPr>
      </w:pPr>
      <w:r w:rsidRPr="00D66D8A">
        <w:rPr>
          <w:rFonts w:ascii="Bookman Old Style" w:hAnsi="Bookman Old Style" w:cs="Arial"/>
          <w:sz w:val="22"/>
          <w:szCs w:val="22"/>
        </w:rPr>
        <w:t xml:space="preserve">Per sfruttare a pieno tale potenziale </w:t>
      </w:r>
      <w:r w:rsidRPr="00560998">
        <w:rPr>
          <w:rFonts w:ascii="Bookman Old Style" w:hAnsi="Bookman Old Style" w:cs="Arial"/>
          <w:sz w:val="22"/>
          <w:szCs w:val="22"/>
        </w:rPr>
        <w:t xml:space="preserve">è indispensabile una politica nazionale per il turismo. Una politica nazionale dovrebbe consentire di ‘governare’ e orientare alla funzione turistica le politiche nazionali che determinano la qualità del prodotto turistico nazionale: </w:t>
      </w:r>
      <w:r w:rsidRPr="00F63756">
        <w:rPr>
          <w:rFonts w:ascii="Bookman Old Style" w:hAnsi="Bookman Old Style" w:cs="Arial"/>
          <w:sz w:val="22"/>
          <w:szCs w:val="22"/>
        </w:rPr>
        <w:t xml:space="preserve">la sua competitività, la sua organizzazione istituzionale con il rapporto Stato-Regioni-Enti locali, l’attrattività e la promozione del brand Italia rappresentano ambiti </w:t>
      </w:r>
      <w:r w:rsidRPr="00F63756">
        <w:rPr>
          <w:rFonts w:ascii="Bookman Old Style" w:hAnsi="Bookman Old Style" w:cs="Arial"/>
          <w:sz w:val="22"/>
          <w:szCs w:val="22"/>
        </w:rPr>
        <w:lastRenderedPageBreak/>
        <w:t>d’intervento sui quali operare con una strategia condivisa da parte di tutti gli attori pubblici e privati coinvolti.</w:t>
      </w:r>
    </w:p>
    <w:p w:rsidR="00F61829" w:rsidRPr="00F63756" w:rsidRDefault="00F61829" w:rsidP="00B02B26">
      <w:pPr>
        <w:pStyle w:val="NormaleWeb"/>
        <w:spacing w:before="0" w:beforeAutospacing="0" w:after="120" w:afterAutospacing="0" w:line="312" w:lineRule="auto"/>
        <w:ind w:firstLine="360"/>
        <w:rPr>
          <w:rFonts w:ascii="Bookman Old Style" w:hAnsi="Bookman Old Style" w:cs="Arial"/>
          <w:sz w:val="22"/>
          <w:szCs w:val="22"/>
        </w:rPr>
      </w:pPr>
      <w:r>
        <w:rPr>
          <w:rFonts w:ascii="Bookman Old Style" w:hAnsi="Bookman Old Style" w:cs="Arial"/>
          <w:sz w:val="22"/>
          <w:szCs w:val="22"/>
        </w:rPr>
        <w:t>Alla trasversalità del settore, nel caso italiano, si aggiunge una</w:t>
      </w:r>
      <w:r w:rsidRPr="00F63756">
        <w:rPr>
          <w:rFonts w:ascii="Bookman Old Style" w:hAnsi="Bookman Old Style" w:cs="Arial"/>
          <w:sz w:val="22"/>
          <w:szCs w:val="22"/>
        </w:rPr>
        <w:t xml:space="preserve"> molteplicità dei soggetti attivi nello sviluppo e nella promozione del turismo </w:t>
      </w:r>
      <w:r>
        <w:rPr>
          <w:rFonts w:ascii="Bookman Old Style" w:hAnsi="Bookman Old Style" w:cs="Arial"/>
          <w:sz w:val="22"/>
          <w:szCs w:val="22"/>
        </w:rPr>
        <w:t>che</w:t>
      </w:r>
      <w:r w:rsidRPr="00F63756">
        <w:rPr>
          <w:rFonts w:ascii="Bookman Old Style" w:hAnsi="Bookman Old Style" w:cs="Arial"/>
          <w:sz w:val="22"/>
          <w:szCs w:val="22"/>
        </w:rPr>
        <w:t xml:space="preserve"> rappresenta un notevole problema in termini organizzativi e di </w:t>
      </w:r>
      <w:r w:rsidRPr="00F63756">
        <w:rPr>
          <w:rFonts w:ascii="Bookman Old Style" w:hAnsi="Bookman Old Style" w:cs="Arial"/>
          <w:i/>
          <w:sz w:val="22"/>
          <w:szCs w:val="22"/>
        </w:rPr>
        <w:t>governance,</w:t>
      </w:r>
      <w:r w:rsidRPr="00F63756">
        <w:rPr>
          <w:rFonts w:ascii="Bookman Old Style" w:hAnsi="Bookman Old Style" w:cs="Arial"/>
          <w:sz w:val="22"/>
          <w:szCs w:val="22"/>
        </w:rPr>
        <w:t xml:space="preserve"> soprattutto nell’ottica della realizzazione di una strategia turistica nazionale </w:t>
      </w:r>
      <w:r>
        <w:rPr>
          <w:rFonts w:ascii="Bookman Old Style" w:hAnsi="Bookman Old Style" w:cs="Arial"/>
          <w:sz w:val="22"/>
          <w:szCs w:val="22"/>
        </w:rPr>
        <w:t xml:space="preserve">ed europea </w:t>
      </w:r>
      <w:r w:rsidRPr="00F63756">
        <w:rPr>
          <w:rFonts w:ascii="Bookman Old Style" w:hAnsi="Bookman Old Style" w:cs="Arial"/>
          <w:sz w:val="22"/>
          <w:szCs w:val="22"/>
        </w:rPr>
        <w:t xml:space="preserve">coerente ed efficiente. </w:t>
      </w:r>
    </w:p>
    <w:p w:rsidR="00F61829" w:rsidRDefault="00F61829" w:rsidP="00B02B26">
      <w:pPr>
        <w:pStyle w:val="NormaleWeb"/>
        <w:spacing w:before="0" w:beforeAutospacing="0" w:after="120" w:afterAutospacing="0" w:line="312" w:lineRule="auto"/>
        <w:ind w:firstLine="360"/>
        <w:rPr>
          <w:rFonts w:ascii="Bookman Old Style" w:hAnsi="Bookman Old Style" w:cs="Arial"/>
          <w:sz w:val="22"/>
          <w:szCs w:val="22"/>
        </w:rPr>
      </w:pPr>
      <w:r w:rsidRPr="00F63756">
        <w:rPr>
          <w:rFonts w:ascii="Bookman Old Style" w:hAnsi="Bookman Old Style" w:cs="Arial"/>
          <w:sz w:val="22"/>
          <w:szCs w:val="22"/>
        </w:rPr>
        <w:t xml:space="preserve">Il quadro normativo vigente manifesta evidenti criticità e non appare più rinviabile una riforma del Titolo V che riporti il turismo nell’ambito delle materie di legislazione concorrente, per riprendere in mano la </w:t>
      </w:r>
      <w:r w:rsidRPr="00F63756">
        <w:rPr>
          <w:rFonts w:ascii="Bookman Old Style" w:hAnsi="Bookman Old Style" w:cs="Arial"/>
          <w:i/>
          <w:sz w:val="22"/>
          <w:szCs w:val="22"/>
        </w:rPr>
        <w:t>governance</w:t>
      </w:r>
      <w:r w:rsidRPr="00F63756">
        <w:rPr>
          <w:rFonts w:ascii="Bookman Old Style" w:hAnsi="Bookman Old Style" w:cs="Arial"/>
          <w:sz w:val="22"/>
          <w:szCs w:val="22"/>
        </w:rPr>
        <w:t xml:space="preserve"> di un settore strategico che, in quest’ultimo decennio, è stato penalizzato da politiche frammentate, con conseguente dispersione di risorse e da un'assenza di coordinamento a livello centrale nonché da una forte conflittualità tra Stato e Regioni e impossibilità di attuare una promozione univoca del brand Italia.</w:t>
      </w:r>
    </w:p>
    <w:p w:rsidR="00F61829" w:rsidRDefault="00F61829" w:rsidP="00B02B26">
      <w:pPr>
        <w:pStyle w:val="NormaleWeb"/>
        <w:spacing w:before="0" w:beforeAutospacing="0" w:after="120" w:afterAutospacing="0" w:line="312" w:lineRule="auto"/>
        <w:ind w:firstLine="360"/>
        <w:rPr>
          <w:rFonts w:ascii="Bookman Old Style" w:hAnsi="Bookman Old Style" w:cs="Arial"/>
          <w:sz w:val="22"/>
          <w:szCs w:val="22"/>
        </w:rPr>
      </w:pPr>
      <w:r w:rsidRPr="00560998">
        <w:rPr>
          <w:rFonts w:ascii="Bookman Old Style" w:hAnsi="Bookman Old Style" w:cs="Arial"/>
          <w:sz w:val="22"/>
          <w:szCs w:val="22"/>
        </w:rPr>
        <w:t>Occorre favorire la partecipazione attiva dei Comuni nella governante del turismo italiano, superando l’anacronistica abitudine di porre i comuni sotto tutela delle regioni. Il sistema delle autonomie locali rappresenta il riferimento primario e imprescindibile delle politiche turistiche sul territorio. In particolare i comuni contribuiscono in modo primario alla costruzione del prodotto turistico, alla valorizzazione dell’identità locale, delle esperienze autentiche e alle politiche di accoglienza. Il comune è il soggetto istituzionalmente più vicino a chi vive temporaneamente per motivi turistici un territorio e in quanto tale è il primo garante della qualità dei servizi offerto</w:t>
      </w:r>
      <w:r>
        <w:rPr>
          <w:rFonts w:ascii="Bookman Old Style" w:hAnsi="Bookman Old Style" w:cs="Arial"/>
          <w:sz w:val="22"/>
          <w:szCs w:val="22"/>
        </w:rPr>
        <w:t>.</w:t>
      </w:r>
    </w:p>
    <w:p w:rsidR="00F61829" w:rsidRPr="00F63756" w:rsidRDefault="00F61829" w:rsidP="00B02B26">
      <w:pPr>
        <w:pStyle w:val="NormaleWeb"/>
        <w:spacing w:before="0" w:beforeAutospacing="0" w:after="120" w:afterAutospacing="0" w:line="312" w:lineRule="auto"/>
        <w:ind w:firstLine="360"/>
        <w:rPr>
          <w:rFonts w:ascii="Bookman Old Style" w:hAnsi="Bookman Old Style" w:cs="Arial"/>
          <w:sz w:val="22"/>
          <w:szCs w:val="22"/>
        </w:rPr>
      </w:pPr>
    </w:p>
    <w:p w:rsidR="00F61829" w:rsidRDefault="00F61829" w:rsidP="00D27EEF">
      <w:pPr>
        <w:pStyle w:val="NormaleWeb"/>
        <w:numPr>
          <w:ilvl w:val="0"/>
          <w:numId w:val="2"/>
        </w:numPr>
        <w:spacing w:before="0" w:beforeAutospacing="0" w:after="120" w:afterAutospacing="0" w:line="312" w:lineRule="auto"/>
        <w:rPr>
          <w:rFonts w:ascii="Bookman Old Style" w:hAnsi="Bookman Old Style" w:cs="Arial"/>
          <w:b/>
          <w:sz w:val="22"/>
          <w:szCs w:val="22"/>
        </w:rPr>
      </w:pPr>
      <w:r>
        <w:rPr>
          <w:rFonts w:ascii="Bookman Old Style" w:hAnsi="Bookman Old Style" w:cs="Arial"/>
          <w:b/>
          <w:sz w:val="22"/>
          <w:szCs w:val="22"/>
        </w:rPr>
        <w:t>MARE E TURISMO: BINOMIO INSCINDIBILE</w:t>
      </w:r>
    </w:p>
    <w:p w:rsidR="00F61829" w:rsidRDefault="00F61829" w:rsidP="00D27EEF">
      <w:pPr>
        <w:pStyle w:val="NormaleWeb"/>
        <w:spacing w:before="0" w:beforeAutospacing="0" w:after="120" w:afterAutospacing="0" w:line="312" w:lineRule="auto"/>
        <w:ind w:firstLine="360"/>
        <w:rPr>
          <w:rFonts w:ascii="Bookman Old Style" w:hAnsi="Bookman Old Style" w:cs="Arial"/>
          <w:sz w:val="22"/>
          <w:szCs w:val="22"/>
        </w:rPr>
      </w:pPr>
      <w:r>
        <w:rPr>
          <w:rFonts w:ascii="Bookman Old Style" w:hAnsi="Bookman Old Style" w:cs="Arial"/>
          <w:sz w:val="22"/>
          <w:szCs w:val="22"/>
        </w:rPr>
        <w:t xml:space="preserve">Quello costiero è una delle forme più antiche di turismo. </w:t>
      </w:r>
    </w:p>
    <w:p w:rsidR="00F61829" w:rsidRDefault="00F61829" w:rsidP="00D27EEF">
      <w:pPr>
        <w:pStyle w:val="NormaleWeb"/>
        <w:spacing w:before="0" w:beforeAutospacing="0" w:after="120" w:afterAutospacing="0" w:line="312" w:lineRule="auto"/>
        <w:ind w:firstLine="360"/>
        <w:rPr>
          <w:rFonts w:ascii="Bookman Old Style" w:hAnsi="Bookman Old Style" w:cs="Arial"/>
          <w:sz w:val="22"/>
          <w:szCs w:val="22"/>
        </w:rPr>
      </w:pPr>
      <w:r>
        <w:rPr>
          <w:rFonts w:ascii="Bookman Old Style" w:hAnsi="Bookman Old Style" w:cs="Arial"/>
          <w:sz w:val="22"/>
          <w:szCs w:val="22"/>
        </w:rPr>
        <w:t xml:space="preserve">Il mare è stato il principale fattore di traino per lo sviluppo del turismo di massa, in particolare nel nostro Paese che dispone di quasi ottomila chilometri di coste. </w:t>
      </w:r>
    </w:p>
    <w:p w:rsidR="00F61829" w:rsidRDefault="00F61829" w:rsidP="00D27EEF">
      <w:pPr>
        <w:pStyle w:val="NormaleWeb"/>
        <w:spacing w:before="0" w:beforeAutospacing="0" w:after="120" w:afterAutospacing="0" w:line="312" w:lineRule="auto"/>
        <w:ind w:firstLine="360"/>
        <w:rPr>
          <w:rFonts w:ascii="Bookman Old Style" w:hAnsi="Bookman Old Style" w:cs="Arial"/>
          <w:sz w:val="22"/>
          <w:szCs w:val="22"/>
        </w:rPr>
      </w:pPr>
      <w:r>
        <w:rPr>
          <w:rFonts w:ascii="Bookman Old Style" w:hAnsi="Bookman Old Style" w:cs="Arial"/>
          <w:sz w:val="22"/>
          <w:szCs w:val="22"/>
        </w:rPr>
        <w:t>Il mare e la spiaggia sono luoghi spazialmente limitati ma nessun luogo montano, di campagna o di città riesce ad ospitare un così alto numero di persone, differenti per età, cultura, livello economico.</w:t>
      </w:r>
    </w:p>
    <w:p w:rsidR="00F61829" w:rsidRDefault="00F61829" w:rsidP="00D27EEF">
      <w:pPr>
        <w:pStyle w:val="NormaleWeb"/>
        <w:spacing w:before="0" w:beforeAutospacing="0" w:after="120" w:afterAutospacing="0" w:line="312" w:lineRule="auto"/>
        <w:ind w:firstLine="360"/>
        <w:rPr>
          <w:rFonts w:ascii="Bookman Old Style" w:hAnsi="Bookman Old Style" w:cs="Arial"/>
          <w:sz w:val="22"/>
          <w:szCs w:val="22"/>
        </w:rPr>
      </w:pPr>
      <w:r>
        <w:rPr>
          <w:rFonts w:ascii="Bookman Old Style" w:hAnsi="Bookman Old Style" w:cs="Arial"/>
          <w:sz w:val="22"/>
          <w:szCs w:val="22"/>
        </w:rPr>
        <w:t xml:space="preserve">Nell’ambito delle politiche di differenziazione dell’offerta turistica, le potenzialità di sviluppo in termini di crescita economica ed occupazionale offerti dalla cosiddetta “economia blu” non possono quindi essere sottovalutati, anche se, da qualche anno, si preferisce parlare di “turismi del mare”, includendo in questa definizione oltre al turismo balneare tradizionale, le crociere e il turismo da diporto o nautico. </w:t>
      </w:r>
    </w:p>
    <w:p w:rsidR="00F61829" w:rsidRDefault="00F61829" w:rsidP="00D27EEF">
      <w:pPr>
        <w:pStyle w:val="NormaleWeb"/>
        <w:spacing w:before="0" w:beforeAutospacing="0" w:after="120" w:afterAutospacing="0" w:line="312" w:lineRule="auto"/>
        <w:ind w:firstLine="360"/>
        <w:rPr>
          <w:rFonts w:ascii="Bookman Old Style" w:hAnsi="Bookman Old Style" w:cs="Arial"/>
          <w:sz w:val="22"/>
          <w:szCs w:val="22"/>
        </w:rPr>
      </w:pPr>
      <w:r>
        <w:rPr>
          <w:rFonts w:ascii="Bookman Old Style" w:hAnsi="Bookman Old Style" w:cs="Arial"/>
          <w:sz w:val="22"/>
          <w:szCs w:val="22"/>
        </w:rPr>
        <w:t>Fra i turismi del mare le difficoltà maggiori che si riscontrano in Italia sono relative proprio al turismo balneare tradizionale, inteso come trinomio sole, spiaggia, mare, quelle che in letteratura sono definite le tre “S” (</w:t>
      </w:r>
      <w:r w:rsidRPr="00D27EEF">
        <w:rPr>
          <w:rFonts w:ascii="Bookman Old Style" w:hAnsi="Bookman Old Style" w:cs="Arial"/>
          <w:i/>
          <w:sz w:val="22"/>
          <w:szCs w:val="22"/>
        </w:rPr>
        <w:t>Sun, Sand, Sea</w:t>
      </w:r>
      <w:r>
        <w:rPr>
          <w:rFonts w:ascii="Bookman Old Style" w:hAnsi="Bookman Old Style" w:cs="Arial"/>
          <w:sz w:val="22"/>
          <w:szCs w:val="22"/>
        </w:rPr>
        <w:t xml:space="preserve">). Si è in presenza infatti di un turismo maturo che continua ad attivare il maggior numero di arrivi e presenze, </w:t>
      </w:r>
      <w:r>
        <w:rPr>
          <w:rFonts w:ascii="Bookman Old Style" w:hAnsi="Bookman Old Style" w:cs="Arial"/>
          <w:sz w:val="22"/>
          <w:szCs w:val="22"/>
        </w:rPr>
        <w:lastRenderedPageBreak/>
        <w:t xml:space="preserve">ma che sta ridefinendo la propria identità e il proprio posizionamento in un contesto mediterraneo e mondiale che vede l’apparire di nuovi competitors, come Croazia e Slovenia, nonché il consolidamento di quelli oramai da tempo sul mercato come Spagna, Grecia e Francia. Il calo di competitività del nostro comparto balneare è sicuramente effetto della crisi economica in atto ma non può essere considerato solo congiunturale e va affrontato in maniera strutturale.  </w:t>
      </w:r>
    </w:p>
    <w:p w:rsidR="00F61829" w:rsidRDefault="00F61829" w:rsidP="00D27EEF">
      <w:pPr>
        <w:pStyle w:val="NormaleWeb"/>
        <w:spacing w:before="0" w:beforeAutospacing="0" w:after="120" w:afterAutospacing="0" w:line="312" w:lineRule="auto"/>
        <w:ind w:firstLine="360"/>
        <w:rPr>
          <w:rFonts w:ascii="Bookman Old Style" w:hAnsi="Bookman Old Style" w:cs="Arial"/>
          <w:sz w:val="22"/>
          <w:szCs w:val="22"/>
        </w:rPr>
      </w:pPr>
      <w:r>
        <w:rPr>
          <w:rFonts w:ascii="Bookman Old Style" w:hAnsi="Bookman Old Style" w:cs="Arial"/>
          <w:sz w:val="22"/>
          <w:szCs w:val="22"/>
        </w:rPr>
        <w:t xml:space="preserve">Si tratta di un turismo notevolmente concentrato. Le prime due regioni, Emilia Romagna e Veneto, si ripartiscono in parti uguali (25 milioni circa) quasi un terzo delle presenze, se si sommano anche Toscana (17 milioni) e Campania (16 milioni), terze e quarte come dimensioni dei flussi, si supera il 50%. In molte regioni, il turismo costiero interessa la quasi totalità delle presenze, con percentuali superiori al 90% del totale in Calabria e Sardegna, intorno all’86% in Liguria e al 78% in Campania. </w:t>
      </w:r>
    </w:p>
    <w:p w:rsidR="00F61829" w:rsidRDefault="00F61829" w:rsidP="00E05AAD">
      <w:pPr>
        <w:pStyle w:val="NormaleWeb"/>
        <w:spacing w:before="0" w:beforeAutospacing="0" w:after="120" w:afterAutospacing="0" w:line="312" w:lineRule="auto"/>
        <w:ind w:firstLine="360"/>
        <w:rPr>
          <w:rFonts w:ascii="Bookman Old Style" w:hAnsi="Bookman Old Style" w:cs="Arial"/>
          <w:sz w:val="22"/>
          <w:szCs w:val="22"/>
        </w:rPr>
      </w:pPr>
      <w:r>
        <w:rPr>
          <w:rFonts w:ascii="Bookman Old Style" w:hAnsi="Bookman Old Style" w:cs="Arial"/>
          <w:sz w:val="22"/>
          <w:szCs w:val="22"/>
        </w:rPr>
        <w:t xml:space="preserve">Il dato delle strutture ricettive rappresenta soltanto una parte delle presenze costiere. Lungo le nostre coste l’incidenza degli ospiti nelle seconde case, di proprietà, in affitto o presso parenti e amici è alta, così come non è da trascurare il numero di coloro che pernottano nelle aree attrezzate per gli autocaravan, i cosiddetti turisti </w:t>
      </w:r>
      <w:r w:rsidRPr="00B16B31">
        <w:rPr>
          <w:rFonts w:ascii="Bookman Old Style" w:hAnsi="Bookman Old Style" w:cs="Arial"/>
          <w:i/>
          <w:sz w:val="22"/>
          <w:szCs w:val="22"/>
        </w:rPr>
        <w:t>en plein air</w:t>
      </w:r>
      <w:r>
        <w:rPr>
          <w:rFonts w:ascii="Bookman Old Style" w:hAnsi="Bookman Old Style" w:cs="Arial"/>
          <w:sz w:val="22"/>
          <w:szCs w:val="22"/>
        </w:rPr>
        <w:t xml:space="preserve">, in costante crescita. </w:t>
      </w:r>
    </w:p>
    <w:p w:rsidR="00F61829" w:rsidRDefault="00F61829" w:rsidP="00E05AAD">
      <w:pPr>
        <w:pStyle w:val="NormaleWeb"/>
        <w:spacing w:before="0" w:beforeAutospacing="0" w:after="120" w:afterAutospacing="0" w:line="312" w:lineRule="auto"/>
        <w:ind w:firstLine="360"/>
        <w:rPr>
          <w:rFonts w:ascii="Bookman Old Style" w:hAnsi="Bookman Old Style" w:cs="Arial"/>
          <w:sz w:val="22"/>
          <w:szCs w:val="22"/>
        </w:rPr>
      </w:pPr>
      <w:r>
        <w:rPr>
          <w:rFonts w:ascii="Bookman Old Style" w:hAnsi="Bookman Old Style" w:cs="Arial"/>
          <w:sz w:val="22"/>
          <w:szCs w:val="22"/>
        </w:rPr>
        <w:t>Ma il turismo balneare non è solo costiero: il mare è un luogo piacevole da frequentare, un elemento di forte attrazione di per sé, fondamentale per le attività che si possono praticare al suo interno, nelle immediate vicinanze e nei suoi dintorni. Infatti il moderno turista non si accontenta più di sole, spiaggia e sabbia, ma si aspetta di trovare una serie di attività da svolgere e una varietà di esperienze, sia strettamente legate all’ambiente marino (sport e wellness) sia in grado di completarne l’offerta (arte, cultura ed enogastronomia) anche nel legame con l’interno.</w:t>
      </w:r>
    </w:p>
    <w:p w:rsidR="00F61829" w:rsidRDefault="00F61829" w:rsidP="00E05AAD">
      <w:pPr>
        <w:pStyle w:val="NormaleWeb"/>
        <w:spacing w:before="0" w:beforeAutospacing="0" w:after="120" w:afterAutospacing="0" w:line="312" w:lineRule="auto"/>
        <w:ind w:firstLine="360"/>
        <w:rPr>
          <w:rFonts w:ascii="Bookman Old Style" w:hAnsi="Bookman Old Style" w:cs="Arial"/>
          <w:sz w:val="22"/>
          <w:szCs w:val="22"/>
        </w:rPr>
      </w:pPr>
      <w:r>
        <w:rPr>
          <w:rFonts w:ascii="Bookman Old Style" w:hAnsi="Bookman Old Style" w:cs="Arial"/>
          <w:sz w:val="22"/>
          <w:szCs w:val="22"/>
        </w:rPr>
        <w:t>Quindi anche i Comuni del primo entroterra, quelli dai quali è possibile raggiungere agevolmente il mare, sono oramai da considerarsi a tutti gli effetti balneari, avendo assorbito usi, costumi e tempi di quel turismo, mantenendo al contempo una qualità di vita e ambientale superiore ma alimentando il flusso escursionistico verso il mare.</w:t>
      </w:r>
    </w:p>
    <w:p w:rsidR="00F61829" w:rsidRDefault="00F61829" w:rsidP="00E05AAD">
      <w:pPr>
        <w:pStyle w:val="NormaleWeb"/>
        <w:spacing w:before="0" w:beforeAutospacing="0" w:after="120" w:afterAutospacing="0" w:line="312" w:lineRule="auto"/>
        <w:ind w:firstLine="360"/>
        <w:rPr>
          <w:rFonts w:ascii="Bookman Old Style" w:hAnsi="Bookman Old Style" w:cs="Arial"/>
          <w:sz w:val="22"/>
          <w:szCs w:val="22"/>
        </w:rPr>
      </w:pPr>
      <w:r>
        <w:rPr>
          <w:rFonts w:ascii="Bookman Old Style" w:hAnsi="Bookman Old Style" w:cs="Arial"/>
          <w:sz w:val="22"/>
          <w:szCs w:val="22"/>
        </w:rPr>
        <w:t xml:space="preserve">Pertanto se si vuole </w:t>
      </w:r>
      <w:r>
        <w:rPr>
          <w:rFonts w:ascii="Bookman Old Style" w:hAnsi="Bookman Old Style" w:cs="Arial"/>
          <w:b/>
          <w:sz w:val="22"/>
          <w:szCs w:val="22"/>
        </w:rPr>
        <w:t>intervenire per rilanciare il turismo balneare</w:t>
      </w:r>
      <w:r>
        <w:rPr>
          <w:rFonts w:ascii="Bookman Old Style" w:hAnsi="Bookman Old Style" w:cs="Arial"/>
          <w:sz w:val="22"/>
          <w:szCs w:val="22"/>
        </w:rPr>
        <w:t xml:space="preserve">, il nostro primo prodotto in termini di arrivi, presenza totali e capacità ricettive, si deve iniziare a ragionare sul rilancio delle destinazioni con la creazione di nuovi prodotti turistici da affiancare a quelli tradizionali. </w:t>
      </w:r>
    </w:p>
    <w:p w:rsidR="00F61829" w:rsidRDefault="00F61829" w:rsidP="00E05AAD">
      <w:pPr>
        <w:pStyle w:val="NormaleWeb"/>
        <w:spacing w:before="0" w:beforeAutospacing="0" w:after="120" w:afterAutospacing="0" w:line="312" w:lineRule="auto"/>
        <w:ind w:firstLine="360"/>
        <w:rPr>
          <w:rFonts w:ascii="Bookman Old Style" w:hAnsi="Bookman Old Style" w:cs="Arial"/>
          <w:sz w:val="22"/>
          <w:szCs w:val="22"/>
        </w:rPr>
      </w:pPr>
      <w:r>
        <w:rPr>
          <w:rFonts w:ascii="Bookman Old Style" w:hAnsi="Bookman Old Style" w:cs="Arial"/>
          <w:sz w:val="22"/>
          <w:szCs w:val="22"/>
        </w:rPr>
        <w:t xml:space="preserve">Significa cioè </w:t>
      </w:r>
      <w:r>
        <w:rPr>
          <w:rFonts w:ascii="Bookman Old Style" w:hAnsi="Bookman Old Style" w:cs="Arial"/>
          <w:b/>
          <w:sz w:val="22"/>
          <w:szCs w:val="22"/>
        </w:rPr>
        <w:t>riposizionare il nostro mare</w:t>
      </w:r>
      <w:r>
        <w:rPr>
          <w:rFonts w:ascii="Bookman Old Style" w:hAnsi="Bookman Old Style" w:cs="Arial"/>
          <w:sz w:val="22"/>
          <w:szCs w:val="22"/>
        </w:rPr>
        <w:t xml:space="preserve"> puntando non solo sulla posizione geografica o sulla bellezza del paesaggio, ma anche alle attività che un turista può svolgere durante la sua vacanza. Attività che potrebbero diventare la base per nuovi prodotti turistici grazie ad esempio all’abbinamento con il turismo culturale o con l’organizzazione di eventi e convention e così via.</w:t>
      </w:r>
    </w:p>
    <w:p w:rsidR="00F61829" w:rsidRDefault="00F61829" w:rsidP="00E05AAD">
      <w:pPr>
        <w:pStyle w:val="NormaleWeb"/>
        <w:spacing w:before="0" w:beforeAutospacing="0" w:after="120" w:afterAutospacing="0" w:line="312" w:lineRule="auto"/>
        <w:ind w:firstLine="360"/>
        <w:rPr>
          <w:rFonts w:ascii="Bookman Old Style" w:hAnsi="Bookman Old Style" w:cs="Arial"/>
          <w:sz w:val="22"/>
          <w:szCs w:val="22"/>
        </w:rPr>
      </w:pPr>
      <w:r>
        <w:rPr>
          <w:rFonts w:ascii="Bookman Old Style" w:hAnsi="Bookman Old Style" w:cs="Arial"/>
          <w:sz w:val="22"/>
          <w:szCs w:val="22"/>
        </w:rPr>
        <w:t xml:space="preserve">Il prodotto mare, che negli ultimi anni soffre la concorrenza internazionale, soprattutto in termini di prezzi, potrebbe invece ribaltare i pronostici e proporsi sui </w:t>
      </w:r>
      <w:r>
        <w:rPr>
          <w:rFonts w:ascii="Bookman Old Style" w:hAnsi="Bookman Old Style" w:cs="Arial"/>
          <w:sz w:val="22"/>
          <w:szCs w:val="22"/>
        </w:rPr>
        <w:lastRenderedPageBreak/>
        <w:t xml:space="preserve">mercati proponendo nuovi prodotti legati anch’essi alla </w:t>
      </w:r>
      <w:r>
        <w:rPr>
          <w:rFonts w:ascii="Bookman Old Style" w:hAnsi="Bookman Old Style" w:cs="Arial"/>
          <w:b/>
          <w:sz w:val="22"/>
          <w:szCs w:val="22"/>
        </w:rPr>
        <w:t>destagionalizzazione</w:t>
      </w:r>
      <w:r>
        <w:rPr>
          <w:rFonts w:ascii="Bookman Old Style" w:hAnsi="Bookman Old Style" w:cs="Arial"/>
          <w:sz w:val="22"/>
          <w:szCs w:val="22"/>
        </w:rPr>
        <w:t xml:space="preserve"> e basati su diverse risorse che attraggono turismi di nicchia</w:t>
      </w:r>
      <w:r>
        <w:rPr>
          <w:rFonts w:ascii="Bookman Old Style" w:hAnsi="Bookman Old Style" w:cs="Arial"/>
          <w:b/>
          <w:sz w:val="22"/>
          <w:szCs w:val="22"/>
        </w:rPr>
        <w:t xml:space="preserve"> </w:t>
      </w:r>
      <w:r>
        <w:rPr>
          <w:rFonts w:ascii="Bookman Old Style" w:hAnsi="Bookman Old Style" w:cs="Arial"/>
          <w:sz w:val="22"/>
          <w:szCs w:val="22"/>
        </w:rPr>
        <w:t>(dai parchi naturali, alle aree marine protette, alle infrastrutture sportive, al patrimonio enogastronomico).</w:t>
      </w:r>
    </w:p>
    <w:p w:rsidR="00F61829" w:rsidRDefault="00F61829" w:rsidP="00E05AAD">
      <w:pPr>
        <w:pStyle w:val="NormaleWeb"/>
        <w:spacing w:before="0" w:beforeAutospacing="0" w:after="120" w:afterAutospacing="0" w:line="312" w:lineRule="auto"/>
        <w:ind w:firstLine="360"/>
        <w:rPr>
          <w:rFonts w:ascii="Bookman Old Style" w:hAnsi="Bookman Old Style" w:cs="Arial"/>
          <w:sz w:val="22"/>
          <w:szCs w:val="22"/>
        </w:rPr>
      </w:pPr>
      <w:r>
        <w:rPr>
          <w:rFonts w:ascii="Bookman Old Style" w:hAnsi="Bookman Old Style" w:cs="Arial"/>
          <w:sz w:val="22"/>
          <w:szCs w:val="22"/>
        </w:rPr>
        <w:t>Il turismo balneare ha due precisi mercati di riferimento: il primo è quello nazionale che, a prescindere dalla suddivisione delle vacanze in più periodi, dall’accorciarsi della permanenza, dell’affermarsi dei viaggi all’estero, è ancora affezionato al “suo” mare. Il secondo mercato è quello straniero e nell’immaginario del turista internazionale, l’Italia non è solo una destinazione balneare, ma è conosciuta per il patrimonio storico, artistico e culturale, per le sue produzioni artigianali e per lo shopping.</w:t>
      </w:r>
    </w:p>
    <w:p w:rsidR="00F61829" w:rsidRDefault="00F61829" w:rsidP="00E05AAD">
      <w:pPr>
        <w:pStyle w:val="NormaleWeb"/>
        <w:spacing w:before="0" w:beforeAutospacing="0" w:after="120" w:afterAutospacing="0" w:line="312" w:lineRule="auto"/>
        <w:ind w:firstLine="360"/>
        <w:rPr>
          <w:rFonts w:ascii="Bookman Old Style" w:hAnsi="Bookman Old Style" w:cs="Arial"/>
          <w:sz w:val="22"/>
          <w:szCs w:val="22"/>
        </w:rPr>
      </w:pPr>
      <w:r>
        <w:rPr>
          <w:rFonts w:ascii="Bookman Old Style" w:hAnsi="Bookman Old Style" w:cs="Arial"/>
          <w:sz w:val="22"/>
          <w:szCs w:val="22"/>
        </w:rPr>
        <w:t xml:space="preserve">Le destinazioni balneari in grado di mixare tutti questi ingredienti, anche attraverso un </w:t>
      </w:r>
      <w:r>
        <w:rPr>
          <w:rFonts w:ascii="Bookman Old Style" w:hAnsi="Bookman Old Style" w:cs="Arial"/>
          <w:b/>
          <w:sz w:val="22"/>
          <w:szCs w:val="22"/>
        </w:rPr>
        <w:t>attento sistema infrastrutturale di trasporti e collegamenti interni ed esterni</w:t>
      </w:r>
      <w:r>
        <w:rPr>
          <w:rFonts w:ascii="Bookman Old Style" w:hAnsi="Bookman Old Style" w:cs="Arial"/>
          <w:sz w:val="22"/>
          <w:szCs w:val="22"/>
        </w:rPr>
        <w:t xml:space="preserve"> alla località, possono sicuramente apparire più attraenti all’occhio oramai esperto del turista.</w:t>
      </w:r>
    </w:p>
    <w:p w:rsidR="00F61829" w:rsidRDefault="00F61829"/>
    <w:p w:rsidR="00F61829" w:rsidRDefault="00F61829" w:rsidP="00D27EEF">
      <w:pPr>
        <w:pStyle w:val="NormaleWeb"/>
        <w:numPr>
          <w:ilvl w:val="0"/>
          <w:numId w:val="2"/>
        </w:numPr>
        <w:spacing w:before="0" w:beforeAutospacing="0" w:after="120" w:afterAutospacing="0" w:line="312" w:lineRule="auto"/>
        <w:rPr>
          <w:rFonts w:ascii="Bookman Old Style" w:hAnsi="Bookman Old Style" w:cs="Arial"/>
          <w:b/>
          <w:caps/>
          <w:sz w:val="22"/>
          <w:szCs w:val="22"/>
        </w:rPr>
      </w:pPr>
      <w:r w:rsidRPr="002E7348">
        <w:rPr>
          <w:rFonts w:ascii="Bookman Old Style" w:hAnsi="Bookman Old Style" w:cs="Arial"/>
          <w:b/>
          <w:caps/>
          <w:sz w:val="22"/>
          <w:szCs w:val="22"/>
        </w:rPr>
        <w:t>Il problema delle concessioni demaniali marittime a finalita’ turistico-ricreative</w:t>
      </w:r>
    </w:p>
    <w:p w:rsidR="00F61829" w:rsidRPr="001B5042" w:rsidRDefault="00F61829" w:rsidP="00D27EEF">
      <w:pPr>
        <w:pStyle w:val="NormaleWeb"/>
        <w:spacing w:before="0" w:beforeAutospacing="0" w:after="120" w:afterAutospacing="0" w:line="312" w:lineRule="auto"/>
        <w:ind w:firstLine="360"/>
        <w:rPr>
          <w:rFonts w:ascii="Bookman Old Style" w:hAnsi="Bookman Old Style" w:cs="Arial"/>
          <w:sz w:val="22"/>
          <w:szCs w:val="22"/>
        </w:rPr>
      </w:pPr>
      <w:r w:rsidRPr="001B5042">
        <w:rPr>
          <w:rFonts w:ascii="Bookman Old Style" w:hAnsi="Bookman Old Style" w:cs="Arial"/>
          <w:sz w:val="22"/>
          <w:szCs w:val="22"/>
        </w:rPr>
        <w:t>Com'è noto, nel gennaio 2009</w:t>
      </w:r>
      <w:r>
        <w:rPr>
          <w:rFonts w:ascii="Bookman Old Style" w:hAnsi="Bookman Old Style" w:cs="Arial"/>
          <w:sz w:val="22"/>
          <w:szCs w:val="22"/>
        </w:rPr>
        <w:t>,</w:t>
      </w:r>
      <w:r w:rsidRPr="001B5042">
        <w:rPr>
          <w:rFonts w:ascii="Bookman Old Style" w:hAnsi="Bookman Old Style" w:cs="Arial"/>
          <w:sz w:val="22"/>
          <w:szCs w:val="22"/>
        </w:rPr>
        <w:t xml:space="preserve"> la Commissione Europea ha trasmesso al Governo Italiano un documento di infrazione (n. 2008/4908) in materia di affidamento delle concessioni demaniali marittime.</w:t>
      </w:r>
    </w:p>
    <w:p w:rsidR="00F61829" w:rsidRPr="001B5042" w:rsidRDefault="00F61829" w:rsidP="00E05AAD">
      <w:pPr>
        <w:pStyle w:val="NormaleWeb"/>
        <w:spacing w:before="0" w:beforeAutospacing="0" w:after="120" w:afterAutospacing="0" w:line="312" w:lineRule="auto"/>
        <w:ind w:firstLine="360"/>
        <w:rPr>
          <w:rFonts w:ascii="Bookman Old Style" w:hAnsi="Bookman Old Style" w:cs="Arial"/>
          <w:sz w:val="22"/>
          <w:szCs w:val="22"/>
        </w:rPr>
      </w:pPr>
      <w:r w:rsidRPr="001B5042">
        <w:rPr>
          <w:rFonts w:ascii="Bookman Old Style" w:hAnsi="Bookman Old Style" w:cs="Arial"/>
          <w:sz w:val="22"/>
          <w:szCs w:val="22"/>
        </w:rPr>
        <w:t>Secondo la Commissione Europea la normativa italiana sulle concessioni demaniali marittime violava i principi della direttiva comunitaria 2006/123/CE (Direttiva Bolkestein), che si pone l'obiettivo di “</w:t>
      </w:r>
      <w:r w:rsidRPr="006804EA">
        <w:rPr>
          <w:rFonts w:ascii="Bookman Old Style" w:hAnsi="Bookman Old Style" w:cs="Arial"/>
          <w:i/>
          <w:sz w:val="22"/>
          <w:szCs w:val="22"/>
        </w:rPr>
        <w:t>eliminare gli ostacoli alla libertà di stabilimento dei prestatori negli Stati membri e alla libera circolazione dei servizi tra Stati membri nonché garantire ai destinatari e ai prestatori la certezza giuridica necessaria all’effettivo esercizio di queste due libertà fondamentali del trattato</w:t>
      </w:r>
      <w:r w:rsidRPr="001B5042">
        <w:rPr>
          <w:rFonts w:ascii="Bookman Old Style" w:hAnsi="Bookman Old Style" w:cs="Arial"/>
          <w:sz w:val="22"/>
          <w:szCs w:val="22"/>
        </w:rPr>
        <w:t>.”</w:t>
      </w:r>
    </w:p>
    <w:p w:rsidR="00F61829" w:rsidRPr="006C63D3" w:rsidRDefault="00F61829" w:rsidP="00E05AAD">
      <w:pPr>
        <w:pStyle w:val="NormaleWeb"/>
        <w:spacing w:before="0" w:beforeAutospacing="0" w:after="120" w:afterAutospacing="0" w:line="312" w:lineRule="auto"/>
        <w:ind w:firstLine="360"/>
        <w:rPr>
          <w:rFonts w:ascii="Bookman Old Style" w:hAnsi="Bookman Old Style" w:cs="Arial"/>
          <w:sz w:val="22"/>
          <w:szCs w:val="22"/>
        </w:rPr>
      </w:pPr>
      <w:r>
        <w:rPr>
          <w:rFonts w:ascii="Bookman Old Style" w:hAnsi="Bookman Old Style" w:cs="Arial"/>
          <w:sz w:val="22"/>
          <w:szCs w:val="22"/>
        </w:rPr>
        <w:t>D</w:t>
      </w:r>
      <w:r w:rsidRPr="006C63D3">
        <w:rPr>
          <w:rFonts w:ascii="Bookman Old Style" w:hAnsi="Bookman Old Style" w:cs="Arial"/>
          <w:sz w:val="22"/>
          <w:szCs w:val="22"/>
        </w:rPr>
        <w:t>urante l’estate 2013</w:t>
      </w:r>
      <w:r>
        <w:rPr>
          <w:rFonts w:ascii="Bookman Old Style" w:hAnsi="Bookman Old Style" w:cs="Arial"/>
          <w:sz w:val="22"/>
          <w:szCs w:val="22"/>
        </w:rPr>
        <w:t>,</w:t>
      </w:r>
      <w:r w:rsidRPr="006C63D3">
        <w:rPr>
          <w:rFonts w:ascii="Bookman Old Style" w:hAnsi="Bookman Old Style" w:cs="Arial"/>
          <w:sz w:val="22"/>
          <w:szCs w:val="22"/>
        </w:rPr>
        <w:t xml:space="preserve"> il governo Letta ha lavorato ad una proposta di legge atta a risolvere </w:t>
      </w:r>
      <w:r>
        <w:rPr>
          <w:rFonts w:ascii="Bookman Old Style" w:hAnsi="Bookman Old Style" w:cs="Arial"/>
          <w:sz w:val="22"/>
          <w:szCs w:val="22"/>
        </w:rPr>
        <w:t xml:space="preserve">queste annose problematiche. </w:t>
      </w:r>
      <w:r w:rsidRPr="006C63D3">
        <w:rPr>
          <w:rFonts w:ascii="Bookman Old Style" w:hAnsi="Bookman Old Style" w:cs="Arial"/>
          <w:sz w:val="22"/>
          <w:szCs w:val="22"/>
        </w:rPr>
        <w:t>La proposta, successivamente abbandonata, ma continuamente riesumata se pur con varianti dagli operatori balneari, mirava a superare la Bolkestein attraverso la sdemanializzazione delle porzioni di arenile occupate da costruzioni e manufatti; attraverso la procedura di cui sopra l'arenile edificato e/o costruito sarebbe stato trasferito al patrimonio disponibile dello Stato che avrebbe potuto alienarlo  ai privati; in particolare la proposta di cui sopra prevedeva un diritto di opzione di acquisto a favore degli attuali concessionari.</w:t>
      </w:r>
    </w:p>
    <w:p w:rsidR="00F61829" w:rsidRPr="006C63D3" w:rsidRDefault="00F61829" w:rsidP="00E05AAD">
      <w:pPr>
        <w:pStyle w:val="NormaleWeb"/>
        <w:spacing w:before="0" w:beforeAutospacing="0" w:after="120" w:afterAutospacing="0" w:line="312" w:lineRule="auto"/>
        <w:ind w:firstLine="360"/>
        <w:rPr>
          <w:rFonts w:ascii="Bookman Old Style" w:hAnsi="Bookman Old Style" w:cs="Arial"/>
          <w:sz w:val="22"/>
          <w:szCs w:val="22"/>
        </w:rPr>
      </w:pPr>
      <w:r w:rsidRPr="006C63D3">
        <w:rPr>
          <w:rFonts w:ascii="Bookman Old Style" w:hAnsi="Bookman Old Style" w:cs="Arial"/>
          <w:sz w:val="22"/>
          <w:szCs w:val="22"/>
        </w:rPr>
        <w:t>Esclusivamente le porzioni di arenile destinate ad ombreggio e al posizionamento di strutture leggere quali quelle ludico ricreative sarebbero state assoggettate alle procedure di evidenza pubblica e alle disposizioni di cui alla direttiva europea.</w:t>
      </w:r>
    </w:p>
    <w:p w:rsidR="00F61829" w:rsidRDefault="00F61829" w:rsidP="00E05AAD">
      <w:pPr>
        <w:pStyle w:val="NormaleWeb"/>
        <w:spacing w:before="0" w:beforeAutospacing="0" w:after="120" w:afterAutospacing="0" w:line="312" w:lineRule="auto"/>
        <w:ind w:firstLine="360"/>
        <w:rPr>
          <w:rFonts w:ascii="Bookman Old Style" w:hAnsi="Bookman Old Style" w:cs="Arial"/>
          <w:sz w:val="22"/>
          <w:szCs w:val="22"/>
        </w:rPr>
      </w:pPr>
    </w:p>
    <w:p w:rsidR="00F61829" w:rsidRPr="006C63D3" w:rsidRDefault="00F61829" w:rsidP="00E05AAD">
      <w:pPr>
        <w:pStyle w:val="NormaleWeb"/>
        <w:spacing w:before="0" w:beforeAutospacing="0" w:after="120" w:afterAutospacing="0" w:line="312" w:lineRule="auto"/>
        <w:ind w:firstLine="360"/>
        <w:rPr>
          <w:rFonts w:ascii="Bookman Old Style" w:hAnsi="Bookman Old Style" w:cs="Arial"/>
          <w:sz w:val="22"/>
          <w:szCs w:val="22"/>
        </w:rPr>
      </w:pPr>
      <w:r w:rsidRPr="006C63D3">
        <w:rPr>
          <w:rFonts w:ascii="Bookman Old Style" w:hAnsi="Bookman Old Style" w:cs="Arial"/>
          <w:sz w:val="22"/>
          <w:szCs w:val="22"/>
        </w:rPr>
        <w:t>Tale proposta destava varie perplessità :</w:t>
      </w:r>
    </w:p>
    <w:p w:rsidR="00F61829" w:rsidRPr="006C63D3" w:rsidRDefault="00F61829" w:rsidP="00E05AAD">
      <w:pPr>
        <w:pStyle w:val="NormaleWeb"/>
        <w:spacing w:before="0" w:beforeAutospacing="0" w:after="120" w:afterAutospacing="0" w:line="312" w:lineRule="auto"/>
        <w:ind w:left="360"/>
        <w:rPr>
          <w:rFonts w:ascii="Bookman Old Style" w:hAnsi="Bookman Old Style" w:cs="Arial"/>
          <w:sz w:val="22"/>
          <w:szCs w:val="22"/>
        </w:rPr>
      </w:pPr>
      <w:r w:rsidRPr="00210051">
        <w:rPr>
          <w:rFonts w:ascii="Bookman Old Style" w:hAnsi="Bookman Old Style" w:cs="Arial"/>
          <w:i/>
          <w:sz w:val="22"/>
          <w:szCs w:val="22"/>
        </w:rPr>
        <w:lastRenderedPageBreak/>
        <w:t>a)</w:t>
      </w:r>
      <w:r w:rsidRPr="006C63D3">
        <w:rPr>
          <w:rFonts w:ascii="Bookman Old Style" w:hAnsi="Bookman Old Style" w:cs="Arial"/>
          <w:sz w:val="22"/>
          <w:szCs w:val="22"/>
        </w:rPr>
        <w:t xml:space="preserve"> in relazione alle diverse situazioni e specificità del territorio costiero italiano delle aree in concessione; infatti, dato che le aree adiacenti possono e sono spesso di proprietà pubblica e/o comunale, progetti di riqualificazione integrata tra aree in concessione e le altre aree potrebbero essere inibiti e comunque compromessi ed anche l’attuazione delle previsioni degli strumenti urbanistici e di programmazione dei Comuni sarebbe fortemente condizionata e penalizzata;</w:t>
      </w:r>
    </w:p>
    <w:p w:rsidR="00F61829" w:rsidRPr="006C63D3" w:rsidRDefault="00F61829" w:rsidP="00E05AAD">
      <w:pPr>
        <w:pStyle w:val="NormaleWeb"/>
        <w:spacing w:before="0" w:beforeAutospacing="0" w:after="120" w:afterAutospacing="0" w:line="312" w:lineRule="auto"/>
        <w:ind w:left="360"/>
        <w:rPr>
          <w:rFonts w:ascii="Bookman Old Style" w:hAnsi="Bookman Old Style" w:cs="Arial"/>
          <w:sz w:val="22"/>
          <w:szCs w:val="22"/>
        </w:rPr>
      </w:pPr>
      <w:r w:rsidRPr="00210051">
        <w:rPr>
          <w:rFonts w:ascii="Bookman Old Style" w:hAnsi="Bookman Old Style" w:cs="Arial"/>
          <w:i/>
          <w:sz w:val="22"/>
          <w:szCs w:val="22"/>
        </w:rPr>
        <w:t>b)</w:t>
      </w:r>
      <w:r>
        <w:rPr>
          <w:rFonts w:ascii="Bookman Old Style" w:hAnsi="Bookman Old Style" w:cs="Arial"/>
          <w:sz w:val="22"/>
          <w:szCs w:val="22"/>
        </w:rPr>
        <w:t xml:space="preserve"> </w:t>
      </w:r>
      <w:r w:rsidRPr="006C63D3">
        <w:rPr>
          <w:rFonts w:ascii="Bookman Old Style" w:hAnsi="Bookman Old Style" w:cs="Arial"/>
          <w:sz w:val="22"/>
          <w:szCs w:val="22"/>
        </w:rPr>
        <w:t>se da un lato  appariva destabilizzante che un bene pubblico quale quello in questione potesse essere privatizzato a favore degli attuali concessionari, dall'altro non si comprendeva come potesse essere gestita la parte di arenile libera da manufatti che continuerà a mantenere l'originaria natura demaniale.</w:t>
      </w:r>
    </w:p>
    <w:p w:rsidR="00F61829" w:rsidRPr="006C63D3" w:rsidRDefault="00F61829" w:rsidP="00E05AAD">
      <w:pPr>
        <w:pStyle w:val="NormaleWeb"/>
        <w:spacing w:before="0" w:beforeAutospacing="0" w:after="120" w:afterAutospacing="0" w:line="312" w:lineRule="auto"/>
        <w:ind w:firstLine="360"/>
        <w:rPr>
          <w:rFonts w:ascii="Bookman Old Style" w:hAnsi="Bookman Old Style" w:cs="Arial"/>
          <w:sz w:val="22"/>
          <w:szCs w:val="22"/>
        </w:rPr>
      </w:pPr>
      <w:r w:rsidRPr="006C63D3">
        <w:rPr>
          <w:rFonts w:ascii="Bookman Old Style" w:hAnsi="Bookman Old Style" w:cs="Arial"/>
          <w:sz w:val="22"/>
          <w:szCs w:val="22"/>
        </w:rPr>
        <w:t>Come si potrebbe infatti assegnare la spiaggia destinata ad ombreggio nel rispetto della normativa europea quando i servizi essenziali di uno stabilimento balneare appartengono a soggetti privati? Per non spezzare l'unità dello stabilimento balneare ai fini dell'assegnazione non si potrebbe che individuare un meccanismo atto a privilegiare il proprietario dei manufatti e ciò in palese contrasto con le direttive europee.</w:t>
      </w:r>
    </w:p>
    <w:p w:rsidR="00F61829" w:rsidRPr="006C63D3" w:rsidRDefault="00F61829" w:rsidP="00E05AAD">
      <w:pPr>
        <w:pStyle w:val="NormaleWeb"/>
        <w:spacing w:before="0" w:beforeAutospacing="0" w:after="120" w:afterAutospacing="0" w:line="312" w:lineRule="auto"/>
        <w:ind w:firstLine="360"/>
        <w:rPr>
          <w:rFonts w:ascii="Bookman Old Style" w:hAnsi="Bookman Old Style" w:cs="Arial"/>
          <w:sz w:val="22"/>
          <w:szCs w:val="22"/>
        </w:rPr>
      </w:pPr>
      <w:r w:rsidRPr="006C63D3">
        <w:rPr>
          <w:rFonts w:ascii="Bookman Old Style" w:hAnsi="Bookman Old Style" w:cs="Arial"/>
          <w:sz w:val="22"/>
          <w:szCs w:val="22"/>
        </w:rPr>
        <w:t>L’alienazione dell’arenile o comunque l’attribuzione di diritti reali sullo stesso sembra un sistema atto ad eludere i principi a cui ci richiama l'Europa senza la consapevolezza delle conseguenze che scaturiranno da un simile atteggiamento.</w:t>
      </w:r>
    </w:p>
    <w:p w:rsidR="00F61829" w:rsidRPr="006C63D3" w:rsidRDefault="00F61829" w:rsidP="00E05AAD">
      <w:pPr>
        <w:pStyle w:val="NormaleWeb"/>
        <w:spacing w:before="0" w:beforeAutospacing="0" w:after="120" w:afterAutospacing="0" w:line="312" w:lineRule="auto"/>
        <w:ind w:firstLine="360"/>
        <w:rPr>
          <w:rFonts w:ascii="Bookman Old Style" w:hAnsi="Bookman Old Style" w:cs="Arial"/>
          <w:sz w:val="22"/>
          <w:szCs w:val="22"/>
        </w:rPr>
      </w:pPr>
      <w:r w:rsidRPr="006C63D3">
        <w:rPr>
          <w:rFonts w:ascii="Bookman Old Style" w:hAnsi="Bookman Old Style" w:cs="Arial"/>
          <w:sz w:val="22"/>
          <w:szCs w:val="22"/>
        </w:rPr>
        <w:t>Se la spiaggia destinata ad ombreggio venisse assegnata secondo criteri di evidenza pubblica potrebbe essere concessa a soggetto diverso dalla proprietà dello stabilimento, con la conseguenza che il primo non potrebbe legittimamente aprire uno stabilimento balneare perché privo dei servizi essenziali ed il secondo avrebbe i servizi (docce, cabine, acqua ecc..) senza un'area da destinare al posizionamento dei lettini e degli ombrelloni.</w:t>
      </w:r>
    </w:p>
    <w:p w:rsidR="00F61829" w:rsidRPr="006C63D3" w:rsidRDefault="00F61829" w:rsidP="00E05AAD">
      <w:pPr>
        <w:pStyle w:val="NormaleWeb"/>
        <w:spacing w:before="0" w:beforeAutospacing="0" w:after="120" w:afterAutospacing="0" w:line="312" w:lineRule="auto"/>
        <w:ind w:firstLine="360"/>
        <w:rPr>
          <w:rFonts w:ascii="Bookman Old Style" w:hAnsi="Bookman Old Style" w:cs="Arial"/>
          <w:sz w:val="22"/>
          <w:szCs w:val="22"/>
        </w:rPr>
      </w:pPr>
      <w:r w:rsidRPr="006C63D3">
        <w:rPr>
          <w:rFonts w:ascii="Bookman Old Style" w:hAnsi="Bookman Old Style" w:cs="Arial"/>
          <w:sz w:val="22"/>
          <w:szCs w:val="22"/>
        </w:rPr>
        <w:t>Appare evidente che al fine di non snaturare gli attuali stabilimenti anche l'assegnazione della spiaggia per l'ombreggio dovrebbe prevedere una corsia preferenziale per gli attuali concessionari ormai divenuti proprietari e ciò in violazione delle direttive europee.</w:t>
      </w:r>
    </w:p>
    <w:p w:rsidR="00F61829" w:rsidRPr="006C63D3" w:rsidRDefault="00F61829" w:rsidP="00E05AAD">
      <w:pPr>
        <w:pStyle w:val="NormaleWeb"/>
        <w:spacing w:before="0" w:beforeAutospacing="0" w:after="120" w:afterAutospacing="0" w:line="312" w:lineRule="auto"/>
        <w:ind w:firstLine="360"/>
        <w:rPr>
          <w:rFonts w:ascii="Bookman Old Style" w:hAnsi="Bookman Old Style" w:cs="Arial"/>
          <w:sz w:val="22"/>
          <w:szCs w:val="22"/>
        </w:rPr>
      </w:pPr>
      <w:r w:rsidRPr="006C63D3">
        <w:rPr>
          <w:rFonts w:ascii="Bookman Old Style" w:hAnsi="Bookman Old Style" w:cs="Arial"/>
          <w:sz w:val="22"/>
          <w:szCs w:val="22"/>
        </w:rPr>
        <w:t>Si rileva inoltre che la sdemanializzazione a favore di operatori privati non si configura assolutamente come uno strumento efficace ai fini della valorizzazione delle imprese e della riqualificazione del territorio.</w:t>
      </w:r>
    </w:p>
    <w:p w:rsidR="00F61829" w:rsidRPr="006C63D3" w:rsidRDefault="00F61829" w:rsidP="00E05AAD">
      <w:pPr>
        <w:pStyle w:val="NormaleWeb"/>
        <w:spacing w:before="0" w:beforeAutospacing="0" w:after="120" w:afterAutospacing="0" w:line="312" w:lineRule="auto"/>
        <w:ind w:firstLine="360"/>
        <w:rPr>
          <w:rFonts w:ascii="Bookman Old Style" w:hAnsi="Bookman Old Style" w:cs="Arial"/>
          <w:sz w:val="22"/>
          <w:szCs w:val="22"/>
        </w:rPr>
      </w:pPr>
      <w:r w:rsidRPr="006C63D3">
        <w:rPr>
          <w:rFonts w:ascii="Bookman Old Style" w:hAnsi="Bookman Old Style" w:cs="Arial"/>
          <w:sz w:val="22"/>
          <w:szCs w:val="22"/>
        </w:rPr>
        <w:t xml:space="preserve">Al contrario </w:t>
      </w:r>
      <w:r w:rsidRPr="00E05AAD">
        <w:rPr>
          <w:rFonts w:ascii="Bookman Old Style" w:hAnsi="Bookman Old Style" w:cs="Arial"/>
          <w:b/>
          <w:sz w:val="22"/>
          <w:szCs w:val="22"/>
        </w:rPr>
        <w:t>la valorizzazione delle concessioni demaniali marittime può essere perseguita con la permanenza della proprietà agli Enti pubblici e attraverso una sostanziale revisione dei canoni demaniali marittimi</w:t>
      </w:r>
      <w:r w:rsidRPr="006C63D3">
        <w:rPr>
          <w:rFonts w:ascii="Bookman Old Style" w:hAnsi="Bookman Old Style" w:cs="Arial"/>
          <w:sz w:val="22"/>
          <w:szCs w:val="22"/>
        </w:rPr>
        <w:t xml:space="preserve"> .</w:t>
      </w:r>
    </w:p>
    <w:p w:rsidR="00F61829" w:rsidRPr="006C63D3" w:rsidRDefault="00F61829" w:rsidP="00B20902">
      <w:pPr>
        <w:pStyle w:val="NormaleWeb"/>
        <w:spacing w:before="0" w:beforeAutospacing="0" w:after="120" w:afterAutospacing="0" w:line="312" w:lineRule="auto"/>
        <w:ind w:firstLine="360"/>
        <w:rPr>
          <w:rFonts w:ascii="Bookman Old Style" w:hAnsi="Bookman Old Style" w:cs="Arial"/>
          <w:sz w:val="22"/>
          <w:szCs w:val="22"/>
        </w:rPr>
      </w:pPr>
      <w:r w:rsidRPr="006C63D3">
        <w:rPr>
          <w:rFonts w:ascii="Bookman Old Style" w:hAnsi="Bookman Old Style" w:cs="Arial"/>
          <w:sz w:val="22"/>
          <w:szCs w:val="22"/>
        </w:rPr>
        <w:t>Si ritiene che un ruolo fondamentale nella determinazione dei canoni e dei criteri per l'assegnazione delle concessioni possano svolgere le Regioni ed i Comuni a cui è stata demandata, attraverso il trasferimento delle funzioni amministrative, la gestione del demanio marittimo e che meglio dello Stato conoscono la realtà del loro territorio e delle loro imprese turistico balneari.</w:t>
      </w:r>
    </w:p>
    <w:p w:rsidR="00F61829" w:rsidRPr="006C63D3" w:rsidRDefault="00F61829" w:rsidP="00B20902">
      <w:pPr>
        <w:pStyle w:val="NormaleWeb"/>
        <w:spacing w:before="0" w:beforeAutospacing="0" w:after="120" w:afterAutospacing="0" w:line="312" w:lineRule="auto"/>
        <w:ind w:firstLine="360"/>
        <w:rPr>
          <w:rFonts w:ascii="Bookman Old Style" w:hAnsi="Bookman Old Style" w:cs="Arial"/>
          <w:sz w:val="22"/>
          <w:szCs w:val="22"/>
        </w:rPr>
      </w:pPr>
      <w:r>
        <w:rPr>
          <w:rFonts w:ascii="Bookman Old Style" w:hAnsi="Bookman Old Style" w:cs="Arial"/>
          <w:sz w:val="22"/>
          <w:szCs w:val="22"/>
        </w:rPr>
        <w:lastRenderedPageBreak/>
        <w:t>Con il Decreto del f</w:t>
      </w:r>
      <w:r w:rsidRPr="006C63D3">
        <w:rPr>
          <w:rFonts w:ascii="Bookman Old Style" w:hAnsi="Bookman Old Style" w:cs="Arial"/>
          <w:sz w:val="22"/>
          <w:szCs w:val="22"/>
        </w:rPr>
        <w:t>are</w:t>
      </w:r>
      <w:r>
        <w:rPr>
          <w:rFonts w:ascii="Bookman Old Style" w:hAnsi="Bookman Old Style" w:cs="Arial"/>
          <w:sz w:val="22"/>
          <w:szCs w:val="22"/>
        </w:rPr>
        <w:t xml:space="preserve">, inoltre, </w:t>
      </w:r>
      <w:r w:rsidRPr="006C63D3">
        <w:rPr>
          <w:rFonts w:ascii="Bookman Old Style" w:hAnsi="Bookman Old Style" w:cs="Arial"/>
          <w:sz w:val="22"/>
          <w:szCs w:val="22"/>
        </w:rPr>
        <w:t xml:space="preserve">è stata data parziale attuazione al D.Lgs 85/2010 </w:t>
      </w:r>
      <w:r>
        <w:rPr>
          <w:rFonts w:ascii="Bookman Old Style" w:hAnsi="Bookman Old Style" w:cs="Arial"/>
          <w:sz w:val="22"/>
          <w:szCs w:val="22"/>
        </w:rPr>
        <w:t xml:space="preserve">sul </w:t>
      </w:r>
      <w:r w:rsidRPr="006C63D3">
        <w:rPr>
          <w:rFonts w:ascii="Bookman Old Style" w:hAnsi="Bookman Old Style" w:cs="Arial"/>
          <w:sz w:val="22"/>
          <w:szCs w:val="22"/>
        </w:rPr>
        <w:t>“Federalismo demaniale”</w:t>
      </w:r>
      <w:r>
        <w:rPr>
          <w:rFonts w:ascii="Bookman Old Style" w:hAnsi="Bookman Old Style" w:cs="Arial"/>
          <w:sz w:val="22"/>
          <w:szCs w:val="22"/>
        </w:rPr>
        <w:t xml:space="preserve">, con cui </w:t>
      </w:r>
      <w:r w:rsidRPr="006C63D3">
        <w:rPr>
          <w:rFonts w:ascii="Bookman Old Style" w:hAnsi="Bookman Old Style" w:cs="Arial"/>
          <w:sz w:val="22"/>
          <w:szCs w:val="22"/>
        </w:rPr>
        <w:t>i beni patrimoniali dello Stato, spesso adiacenti e limitrofi all’arenile in concessione. sono stati trasferiti in proprietà ai Comuni. Su queste aree strettamente collegate all’arenile e alle spiagge  in concessione vi è, ovviamente, una programmazione degli Enti Locali volta alla riqualificazione urbana e all’implementazione di infrastrutture (sistemi fognari ad esempio) e servizi per la sostenibilità ambientale. Oltre agli aspetti di cui sopra, la sdemanializzazione ipotizzata assegnerebbe un bene pubblico (l’arenile, le spiagge e le coste) a privati, i quali una volta divenuti proprietari, in piena autonomia, potrebbero non solo decidere di non procedere a qualificazioni innovative, ma anche di non relazionarsi ed integrarsi con il territorio limitrofo rendendo impossibili progetti di riqualificazione integrata tra arenile ed aree adiacenti. Al riguardo, in coerenza e</w:t>
      </w:r>
      <w:r>
        <w:rPr>
          <w:rFonts w:ascii="Bookman Old Style" w:hAnsi="Bookman Old Style" w:cs="Arial"/>
          <w:sz w:val="22"/>
          <w:szCs w:val="22"/>
        </w:rPr>
        <w:t>d</w:t>
      </w:r>
      <w:r w:rsidRPr="006C63D3">
        <w:rPr>
          <w:rFonts w:ascii="Bookman Old Style" w:hAnsi="Bookman Old Style" w:cs="Arial"/>
          <w:sz w:val="22"/>
          <w:szCs w:val="22"/>
        </w:rPr>
        <w:t xml:space="preserve"> in continuità con il “Decreto del fare”, servirebbe invece dare attuazione alle disposizioni del D.lgs 85/2010 (Decreto legislativo sul federalismo demaniale) che prevedeva il trasferimento del demanio marittimo alle Regioni.</w:t>
      </w:r>
    </w:p>
    <w:p w:rsidR="00F61829" w:rsidRPr="006804EA" w:rsidRDefault="00F61829" w:rsidP="0055210B">
      <w:pPr>
        <w:pStyle w:val="NormaleWeb"/>
        <w:spacing w:before="0" w:beforeAutospacing="0" w:after="120" w:afterAutospacing="0" w:line="312" w:lineRule="auto"/>
        <w:ind w:firstLine="360"/>
        <w:rPr>
          <w:rFonts w:ascii="Bookman Old Style" w:hAnsi="Bookman Old Style" w:cs="Arial"/>
          <w:b/>
          <w:sz w:val="22"/>
          <w:szCs w:val="22"/>
        </w:rPr>
      </w:pPr>
      <w:r>
        <w:rPr>
          <w:rFonts w:ascii="Bookman Old Style" w:hAnsi="Bookman Old Style" w:cs="Arial"/>
          <w:sz w:val="22"/>
          <w:szCs w:val="22"/>
        </w:rPr>
        <w:t>N</w:t>
      </w:r>
      <w:r w:rsidRPr="006C63D3">
        <w:rPr>
          <w:rFonts w:ascii="Bookman Old Style" w:hAnsi="Bookman Old Style" w:cs="Arial"/>
          <w:sz w:val="22"/>
          <w:szCs w:val="22"/>
        </w:rPr>
        <w:t xml:space="preserve">on va dimenticato che </w:t>
      </w:r>
      <w:r w:rsidRPr="006804EA">
        <w:rPr>
          <w:rFonts w:ascii="Bookman Old Style" w:hAnsi="Bookman Old Style" w:cs="Arial"/>
          <w:b/>
          <w:sz w:val="22"/>
          <w:szCs w:val="22"/>
        </w:rPr>
        <w:t>la Legge comunitaria per l'anno 2010 (Legge 15/12/2011, n. 217) all'art. 11 delegava il governo ad adottare entro 15 mesi dalla sua entrata in vigore un decreto legislativo per definire criteri e modalità di affidamento delle concessioni nel rispetto dei principi di concorrenza, libertà di stabilimento, di garanzia dell'esercizio, dello sviluppo, della valorizzazione delle attività imprenditoriali e di tutela degli investimenti.</w:t>
      </w:r>
    </w:p>
    <w:p w:rsidR="00F61829" w:rsidRPr="006C63D3" w:rsidRDefault="00F61829" w:rsidP="0055210B">
      <w:pPr>
        <w:pStyle w:val="NormaleWeb"/>
        <w:spacing w:before="0" w:beforeAutospacing="0" w:after="120" w:afterAutospacing="0" w:line="312" w:lineRule="auto"/>
        <w:ind w:firstLine="360"/>
        <w:rPr>
          <w:rFonts w:ascii="Bookman Old Style" w:hAnsi="Bookman Old Style" w:cs="Arial"/>
          <w:sz w:val="22"/>
          <w:szCs w:val="22"/>
        </w:rPr>
      </w:pPr>
      <w:r w:rsidRPr="006C63D3">
        <w:rPr>
          <w:rFonts w:ascii="Bookman Old Style" w:hAnsi="Bookman Old Style" w:cs="Arial"/>
          <w:sz w:val="22"/>
          <w:szCs w:val="22"/>
        </w:rPr>
        <w:t>A questa norma non è mai stata data attuazione</w:t>
      </w:r>
      <w:r>
        <w:rPr>
          <w:rFonts w:ascii="Bookman Old Style" w:hAnsi="Bookman Old Style" w:cs="Arial"/>
          <w:sz w:val="22"/>
          <w:szCs w:val="22"/>
        </w:rPr>
        <w:t xml:space="preserve"> e</w:t>
      </w:r>
      <w:r w:rsidRPr="006C63D3">
        <w:rPr>
          <w:rFonts w:ascii="Bookman Old Style" w:hAnsi="Bookman Old Style" w:cs="Arial"/>
          <w:sz w:val="22"/>
          <w:szCs w:val="22"/>
        </w:rPr>
        <w:t xml:space="preserve"> </w:t>
      </w:r>
      <w:r w:rsidRPr="0055210B">
        <w:rPr>
          <w:rFonts w:ascii="Bookman Old Style" w:hAnsi="Bookman Old Style" w:cs="Arial"/>
          <w:b/>
          <w:sz w:val="22"/>
          <w:szCs w:val="22"/>
        </w:rPr>
        <w:t>si è preferito rinviare il problema delle concessioni demaniali marittime prorogandone la scadenza dal 31/12/2015 al 31/12/2020</w:t>
      </w:r>
      <w:r w:rsidRPr="006C63D3">
        <w:rPr>
          <w:rFonts w:ascii="Bookman Old Style" w:hAnsi="Bookman Old Style" w:cs="Arial"/>
          <w:sz w:val="22"/>
          <w:szCs w:val="22"/>
        </w:rPr>
        <w:t xml:space="preserve"> (D.L. 179/2012 convertito in legge dalla L. n. 221/2012 – art. 34 </w:t>
      </w:r>
      <w:r w:rsidRPr="00084A18">
        <w:rPr>
          <w:rFonts w:ascii="Bookman Old Style" w:hAnsi="Bookman Old Style" w:cs="Arial"/>
          <w:i/>
          <w:sz w:val="22"/>
          <w:szCs w:val="22"/>
        </w:rPr>
        <w:t>duodecies</w:t>
      </w:r>
      <w:r w:rsidRPr="006C63D3">
        <w:rPr>
          <w:rFonts w:ascii="Bookman Old Style" w:hAnsi="Bookman Old Style" w:cs="Arial"/>
          <w:sz w:val="22"/>
          <w:szCs w:val="22"/>
        </w:rPr>
        <w:t>).</w:t>
      </w:r>
    </w:p>
    <w:p w:rsidR="00F61829" w:rsidRPr="006C63D3" w:rsidRDefault="00F61829" w:rsidP="006C63D3">
      <w:pPr>
        <w:pStyle w:val="NormaleWeb"/>
        <w:spacing w:before="0" w:beforeAutospacing="0" w:after="120" w:afterAutospacing="0" w:line="312" w:lineRule="auto"/>
        <w:rPr>
          <w:rFonts w:ascii="Bookman Old Style" w:hAnsi="Bookman Old Style" w:cs="Arial"/>
          <w:sz w:val="22"/>
          <w:szCs w:val="22"/>
        </w:rPr>
      </w:pPr>
    </w:p>
    <w:p w:rsidR="00F61829" w:rsidRPr="00C33F18" w:rsidRDefault="00F61829" w:rsidP="00C33F18">
      <w:pPr>
        <w:pStyle w:val="NormaleWeb"/>
        <w:spacing w:before="0" w:beforeAutospacing="0" w:after="120" w:afterAutospacing="0" w:line="312" w:lineRule="auto"/>
        <w:ind w:firstLine="360"/>
        <w:rPr>
          <w:rFonts w:ascii="Bookman Old Style" w:hAnsi="Bookman Old Style" w:cs="Arial"/>
          <w:i/>
          <w:sz w:val="22"/>
          <w:szCs w:val="22"/>
          <w:u w:val="single"/>
        </w:rPr>
      </w:pPr>
      <w:r>
        <w:rPr>
          <w:rFonts w:ascii="Bookman Old Style" w:hAnsi="Bookman Old Style" w:cs="Arial"/>
          <w:i/>
          <w:sz w:val="22"/>
          <w:szCs w:val="22"/>
          <w:u w:val="single"/>
        </w:rPr>
        <w:t>Possibili criteri per l’attribuzione delle concessioni</w:t>
      </w:r>
    </w:p>
    <w:p w:rsidR="00F61829" w:rsidRPr="006C63D3" w:rsidRDefault="00F61829" w:rsidP="00C33F18">
      <w:pPr>
        <w:pStyle w:val="NormaleWeb"/>
        <w:spacing w:before="0" w:beforeAutospacing="0" w:after="120" w:afterAutospacing="0" w:line="312" w:lineRule="auto"/>
        <w:ind w:firstLine="360"/>
        <w:rPr>
          <w:rFonts w:ascii="Bookman Old Style" w:hAnsi="Bookman Old Style" w:cs="Arial"/>
          <w:sz w:val="22"/>
          <w:szCs w:val="22"/>
        </w:rPr>
      </w:pPr>
      <w:r w:rsidRPr="006C63D3">
        <w:rPr>
          <w:rFonts w:ascii="Bookman Old Style" w:hAnsi="Bookman Old Style" w:cs="Arial"/>
          <w:sz w:val="22"/>
          <w:szCs w:val="22"/>
        </w:rPr>
        <w:t xml:space="preserve">In adempimento alla legge comunitaria che delegava il governo ad adottare entro 15 mesi dall’entrata in vigore un </w:t>
      </w:r>
      <w:r>
        <w:rPr>
          <w:rFonts w:ascii="Bookman Old Style" w:hAnsi="Bookman Old Style" w:cs="Arial"/>
          <w:sz w:val="22"/>
          <w:szCs w:val="22"/>
        </w:rPr>
        <w:t>decreto l</w:t>
      </w:r>
      <w:r w:rsidRPr="006C63D3">
        <w:rPr>
          <w:rFonts w:ascii="Bookman Old Style" w:hAnsi="Bookman Old Style" w:cs="Arial"/>
          <w:sz w:val="22"/>
          <w:szCs w:val="22"/>
        </w:rPr>
        <w:t>egislativo per definire criteri e modalità per l’assegnazione delle concessioni sarebbe opportuno arrivare all’approvazione di tale norma .</w:t>
      </w:r>
    </w:p>
    <w:p w:rsidR="00F61829" w:rsidRPr="006C63D3" w:rsidRDefault="00F61829" w:rsidP="00C33F18">
      <w:pPr>
        <w:pStyle w:val="NormaleWeb"/>
        <w:spacing w:before="0" w:beforeAutospacing="0" w:after="120" w:afterAutospacing="0" w:line="312" w:lineRule="auto"/>
        <w:ind w:firstLine="360"/>
        <w:rPr>
          <w:rFonts w:ascii="Bookman Old Style" w:hAnsi="Bookman Old Style" w:cs="Arial"/>
          <w:sz w:val="22"/>
          <w:szCs w:val="22"/>
        </w:rPr>
      </w:pPr>
      <w:r w:rsidRPr="006C63D3">
        <w:rPr>
          <w:rFonts w:ascii="Bookman Old Style" w:hAnsi="Bookman Old Style" w:cs="Arial"/>
          <w:sz w:val="22"/>
          <w:szCs w:val="22"/>
        </w:rPr>
        <w:t>Sarebbe</w:t>
      </w:r>
      <w:r>
        <w:rPr>
          <w:rFonts w:ascii="Bookman Old Style" w:hAnsi="Bookman Old Style" w:cs="Arial"/>
          <w:sz w:val="22"/>
          <w:szCs w:val="22"/>
        </w:rPr>
        <w:t xml:space="preserve"> altresì</w:t>
      </w:r>
      <w:r w:rsidRPr="006C63D3">
        <w:rPr>
          <w:rFonts w:ascii="Bookman Old Style" w:hAnsi="Bookman Old Style" w:cs="Arial"/>
          <w:sz w:val="22"/>
          <w:szCs w:val="22"/>
        </w:rPr>
        <w:t xml:space="preserve"> opportuno che la trattativa con l’Europa, al fine di riconoscere e tutelare le specificità italiane e le imprese balneari che insistono sul</w:t>
      </w:r>
      <w:r>
        <w:rPr>
          <w:rFonts w:ascii="Bookman Old Style" w:hAnsi="Bookman Old Style" w:cs="Arial"/>
          <w:sz w:val="22"/>
          <w:szCs w:val="22"/>
        </w:rPr>
        <w:t xml:space="preserve"> d</w:t>
      </w:r>
      <w:r w:rsidRPr="006C63D3">
        <w:rPr>
          <w:rFonts w:ascii="Bookman Old Style" w:hAnsi="Bookman Old Style" w:cs="Arial"/>
          <w:sz w:val="22"/>
          <w:szCs w:val="22"/>
        </w:rPr>
        <w:t xml:space="preserve">emanio, avvenisse su una proposta di legge </w:t>
      </w:r>
      <w:r>
        <w:rPr>
          <w:rFonts w:ascii="Bookman Old Style" w:hAnsi="Bookman Old Style" w:cs="Arial"/>
          <w:sz w:val="22"/>
          <w:szCs w:val="22"/>
        </w:rPr>
        <w:t>che rispettasse</w:t>
      </w:r>
      <w:r w:rsidRPr="006C63D3">
        <w:rPr>
          <w:rFonts w:ascii="Bookman Old Style" w:hAnsi="Bookman Old Style" w:cs="Arial"/>
          <w:sz w:val="22"/>
          <w:szCs w:val="22"/>
        </w:rPr>
        <w:t xml:space="preserve"> la direttiva europea tutela</w:t>
      </w:r>
      <w:r>
        <w:rPr>
          <w:rFonts w:ascii="Bookman Old Style" w:hAnsi="Bookman Old Style" w:cs="Arial"/>
          <w:sz w:val="22"/>
          <w:szCs w:val="22"/>
        </w:rPr>
        <w:t>ndo</w:t>
      </w:r>
      <w:r w:rsidRPr="006C63D3">
        <w:rPr>
          <w:rFonts w:ascii="Bookman Old Style" w:hAnsi="Bookman Old Style" w:cs="Arial"/>
          <w:sz w:val="22"/>
          <w:szCs w:val="22"/>
        </w:rPr>
        <w:t xml:space="preserve"> </w:t>
      </w:r>
      <w:r>
        <w:rPr>
          <w:rFonts w:ascii="Bookman Old Style" w:hAnsi="Bookman Old Style" w:cs="Arial"/>
          <w:sz w:val="22"/>
          <w:szCs w:val="22"/>
        </w:rPr>
        <w:t xml:space="preserve">la specificità </w:t>
      </w:r>
      <w:r w:rsidRPr="006C63D3">
        <w:rPr>
          <w:rFonts w:ascii="Bookman Old Style" w:hAnsi="Bookman Old Style" w:cs="Arial"/>
          <w:sz w:val="22"/>
          <w:szCs w:val="22"/>
        </w:rPr>
        <w:t>delle imprese</w:t>
      </w:r>
      <w:r>
        <w:rPr>
          <w:rFonts w:ascii="Bookman Old Style" w:hAnsi="Bookman Old Style" w:cs="Arial"/>
          <w:sz w:val="22"/>
          <w:szCs w:val="22"/>
        </w:rPr>
        <w:t xml:space="preserve"> italiane e</w:t>
      </w:r>
      <w:r w:rsidRPr="006C63D3">
        <w:rPr>
          <w:rFonts w:ascii="Bookman Old Style" w:hAnsi="Bookman Old Style" w:cs="Arial"/>
          <w:sz w:val="22"/>
          <w:szCs w:val="22"/>
        </w:rPr>
        <w:t xml:space="preserve"> dei loro investimenti</w:t>
      </w:r>
      <w:r>
        <w:rPr>
          <w:rFonts w:ascii="Bookman Old Style" w:hAnsi="Bookman Old Style" w:cs="Arial"/>
          <w:sz w:val="22"/>
          <w:szCs w:val="22"/>
        </w:rPr>
        <w:t xml:space="preserve">, </w:t>
      </w:r>
      <w:r w:rsidRPr="006804EA">
        <w:rPr>
          <w:rFonts w:ascii="Bookman Old Style" w:hAnsi="Bookman Old Style" w:cs="Arial"/>
          <w:b/>
          <w:sz w:val="22"/>
          <w:szCs w:val="22"/>
        </w:rPr>
        <w:t>dando loro soprattutto certezze</w:t>
      </w:r>
      <w:r>
        <w:rPr>
          <w:rFonts w:ascii="Bookman Old Style" w:hAnsi="Bookman Old Style" w:cs="Arial"/>
          <w:sz w:val="22"/>
          <w:szCs w:val="22"/>
        </w:rPr>
        <w:t>,</w:t>
      </w:r>
      <w:r w:rsidRPr="006C63D3">
        <w:rPr>
          <w:rFonts w:ascii="Bookman Old Style" w:hAnsi="Bookman Old Style" w:cs="Arial"/>
          <w:sz w:val="22"/>
          <w:szCs w:val="22"/>
        </w:rPr>
        <w:t xml:space="preserve"> </w:t>
      </w:r>
      <w:r>
        <w:rPr>
          <w:rFonts w:ascii="Bookman Old Style" w:hAnsi="Bookman Old Style" w:cs="Arial"/>
          <w:sz w:val="22"/>
          <w:szCs w:val="22"/>
        </w:rPr>
        <w:t>con il pieno</w:t>
      </w:r>
      <w:r w:rsidRPr="006C63D3">
        <w:rPr>
          <w:rFonts w:ascii="Bookman Old Style" w:hAnsi="Bookman Old Style" w:cs="Arial"/>
          <w:sz w:val="22"/>
          <w:szCs w:val="22"/>
        </w:rPr>
        <w:t xml:space="preserve"> coinvolgimento d</w:t>
      </w:r>
      <w:r>
        <w:rPr>
          <w:rFonts w:ascii="Bookman Old Style" w:hAnsi="Bookman Old Style" w:cs="Arial"/>
          <w:sz w:val="22"/>
          <w:szCs w:val="22"/>
        </w:rPr>
        <w:t>i</w:t>
      </w:r>
      <w:r w:rsidRPr="006C63D3">
        <w:rPr>
          <w:rFonts w:ascii="Bookman Old Style" w:hAnsi="Bookman Old Style" w:cs="Arial"/>
          <w:sz w:val="22"/>
          <w:szCs w:val="22"/>
        </w:rPr>
        <w:t xml:space="preserve"> Enti locali, Regioni e Comuni. </w:t>
      </w:r>
    </w:p>
    <w:p w:rsidR="00F61829" w:rsidRPr="006C63D3" w:rsidRDefault="00F61829" w:rsidP="000F3E84">
      <w:pPr>
        <w:pStyle w:val="NormaleWeb"/>
        <w:spacing w:before="0" w:beforeAutospacing="0" w:after="120" w:afterAutospacing="0" w:line="312" w:lineRule="auto"/>
        <w:ind w:firstLine="360"/>
        <w:rPr>
          <w:rFonts w:ascii="Bookman Old Style" w:hAnsi="Bookman Old Style" w:cs="Arial"/>
          <w:sz w:val="22"/>
          <w:szCs w:val="22"/>
        </w:rPr>
      </w:pPr>
      <w:r w:rsidRPr="006C63D3">
        <w:rPr>
          <w:rFonts w:ascii="Bookman Old Style" w:hAnsi="Bookman Old Style" w:cs="Arial"/>
          <w:sz w:val="22"/>
          <w:szCs w:val="22"/>
        </w:rPr>
        <w:t>La norma, sulla base di quanto sopra esposto</w:t>
      </w:r>
      <w:r>
        <w:rPr>
          <w:rFonts w:ascii="Bookman Old Style" w:hAnsi="Bookman Old Style" w:cs="Arial"/>
          <w:sz w:val="22"/>
          <w:szCs w:val="22"/>
        </w:rPr>
        <w:t>,</w:t>
      </w:r>
      <w:r w:rsidRPr="006C63D3">
        <w:rPr>
          <w:rFonts w:ascii="Bookman Old Style" w:hAnsi="Bookman Old Style" w:cs="Arial"/>
          <w:sz w:val="22"/>
          <w:szCs w:val="22"/>
        </w:rPr>
        <w:t xml:space="preserve"> </w:t>
      </w:r>
      <w:r>
        <w:rPr>
          <w:rFonts w:ascii="Bookman Old Style" w:hAnsi="Bookman Old Style" w:cs="Arial"/>
          <w:sz w:val="22"/>
          <w:szCs w:val="22"/>
        </w:rPr>
        <w:t xml:space="preserve">dovrebbe contemplare i seguenti criteri per l’attribuzione delle concessioni: </w:t>
      </w:r>
    </w:p>
    <w:p w:rsidR="00F61829" w:rsidRPr="006C63D3" w:rsidRDefault="00F61829" w:rsidP="006C63D3">
      <w:pPr>
        <w:pStyle w:val="NormaleWeb"/>
        <w:spacing w:before="0" w:beforeAutospacing="0" w:after="120" w:afterAutospacing="0" w:line="312" w:lineRule="auto"/>
        <w:rPr>
          <w:rFonts w:ascii="Bookman Old Style" w:hAnsi="Bookman Old Style" w:cs="Arial"/>
          <w:sz w:val="22"/>
          <w:szCs w:val="22"/>
        </w:rPr>
      </w:pPr>
    </w:p>
    <w:p w:rsidR="00F61829" w:rsidRPr="006C63D3" w:rsidRDefault="00F61829" w:rsidP="00E236FD">
      <w:pPr>
        <w:pStyle w:val="NormaleWeb"/>
        <w:spacing w:before="0" w:beforeAutospacing="0" w:after="120" w:afterAutospacing="0" w:line="312" w:lineRule="auto"/>
        <w:ind w:firstLine="360"/>
        <w:rPr>
          <w:rFonts w:ascii="Bookman Old Style" w:hAnsi="Bookman Old Style" w:cs="Arial"/>
          <w:sz w:val="22"/>
          <w:szCs w:val="22"/>
        </w:rPr>
      </w:pPr>
      <w:r w:rsidRPr="006C63D3">
        <w:rPr>
          <w:rFonts w:ascii="Bookman Old Style" w:hAnsi="Bookman Old Style" w:cs="Arial"/>
          <w:sz w:val="22"/>
          <w:szCs w:val="22"/>
        </w:rPr>
        <w:lastRenderedPageBreak/>
        <w:t xml:space="preserve">1) </w:t>
      </w:r>
      <w:r w:rsidRPr="00E236FD">
        <w:rPr>
          <w:rFonts w:ascii="Bookman Old Style" w:hAnsi="Bookman Old Style" w:cs="Arial"/>
          <w:i/>
          <w:sz w:val="22"/>
          <w:szCs w:val="22"/>
        </w:rPr>
        <w:t>previsione di limiti minimi e massimi di durata delle concessioni</w:t>
      </w:r>
      <w:r w:rsidRPr="006C63D3">
        <w:rPr>
          <w:rFonts w:ascii="Bookman Old Style" w:hAnsi="Bookman Old Style" w:cs="Arial"/>
          <w:sz w:val="22"/>
          <w:szCs w:val="22"/>
        </w:rPr>
        <w:t xml:space="preserve">, entro i quali le Regioni di concerto con i Comuni fissano la durata delle stesse in modo da assicurare un uso rispondente all’interesse pubblico nonché proporzionato all’entità degli investimenti. </w:t>
      </w:r>
      <w:r w:rsidRPr="00E236FD">
        <w:rPr>
          <w:rFonts w:ascii="Bookman Old Style" w:hAnsi="Bookman Old Style" w:cs="Arial"/>
          <w:i/>
          <w:sz w:val="22"/>
          <w:szCs w:val="22"/>
        </w:rPr>
        <w:t>In base agli investimenti effettuati si può arrivare ad un rinnovo per un periodo massimo di 30 anni</w:t>
      </w:r>
      <w:r w:rsidRPr="00E236FD">
        <w:rPr>
          <w:rFonts w:ascii="Bookman Old Style" w:hAnsi="Bookman Old Style" w:cs="Arial"/>
          <w:b/>
          <w:sz w:val="22"/>
          <w:szCs w:val="22"/>
        </w:rPr>
        <w:t>.</w:t>
      </w:r>
    </w:p>
    <w:p w:rsidR="00F61829" w:rsidRPr="006C63D3" w:rsidRDefault="00F61829" w:rsidP="00E236FD">
      <w:pPr>
        <w:pStyle w:val="NormaleWeb"/>
        <w:spacing w:before="0" w:beforeAutospacing="0" w:after="120" w:afterAutospacing="0" w:line="312" w:lineRule="auto"/>
        <w:ind w:firstLine="360"/>
        <w:rPr>
          <w:rFonts w:ascii="Bookman Old Style" w:hAnsi="Bookman Old Style" w:cs="Arial"/>
          <w:sz w:val="22"/>
          <w:szCs w:val="22"/>
        </w:rPr>
      </w:pPr>
      <w:r w:rsidRPr="006C63D3">
        <w:rPr>
          <w:rFonts w:ascii="Bookman Old Style" w:hAnsi="Bookman Old Style" w:cs="Arial"/>
          <w:sz w:val="22"/>
          <w:szCs w:val="22"/>
        </w:rPr>
        <w:t xml:space="preserve">2) </w:t>
      </w:r>
      <w:r w:rsidRPr="00E236FD">
        <w:rPr>
          <w:rFonts w:ascii="Bookman Old Style" w:hAnsi="Bookman Old Style" w:cs="Arial"/>
          <w:i/>
          <w:sz w:val="22"/>
          <w:szCs w:val="22"/>
        </w:rPr>
        <w:t>predeterminazione del canone concessorio</w:t>
      </w:r>
      <w:r>
        <w:rPr>
          <w:rFonts w:ascii="Bookman Old Style" w:hAnsi="Bookman Old Style" w:cs="Arial"/>
          <w:sz w:val="22"/>
          <w:szCs w:val="22"/>
        </w:rPr>
        <w:t xml:space="preserve"> con</w:t>
      </w:r>
      <w:r w:rsidRPr="006C63D3">
        <w:rPr>
          <w:rFonts w:ascii="Bookman Old Style" w:hAnsi="Bookman Old Style" w:cs="Arial"/>
          <w:sz w:val="22"/>
          <w:szCs w:val="22"/>
        </w:rPr>
        <w:t xml:space="preserve"> legge nazionale o, eventualmente, regionale imped</w:t>
      </w:r>
      <w:r>
        <w:rPr>
          <w:rFonts w:ascii="Bookman Old Style" w:hAnsi="Bookman Old Style" w:cs="Arial"/>
          <w:sz w:val="22"/>
          <w:szCs w:val="22"/>
        </w:rPr>
        <w:t>endo</w:t>
      </w:r>
      <w:r w:rsidRPr="006C63D3">
        <w:rPr>
          <w:rFonts w:ascii="Bookman Old Style" w:hAnsi="Bookman Old Style" w:cs="Arial"/>
          <w:sz w:val="22"/>
          <w:szCs w:val="22"/>
        </w:rPr>
        <w:t xml:space="preserve"> disparità di trattamento fra imprese operanti in territori diversi ma omogenei;</w:t>
      </w:r>
    </w:p>
    <w:p w:rsidR="00F61829" w:rsidRPr="006C63D3" w:rsidRDefault="00F61829" w:rsidP="00E236FD">
      <w:pPr>
        <w:pStyle w:val="NormaleWeb"/>
        <w:spacing w:before="0" w:beforeAutospacing="0" w:after="120" w:afterAutospacing="0" w:line="312" w:lineRule="auto"/>
        <w:ind w:firstLine="360"/>
        <w:rPr>
          <w:rFonts w:ascii="Bookman Old Style" w:hAnsi="Bookman Old Style" w:cs="Arial"/>
          <w:sz w:val="22"/>
          <w:szCs w:val="22"/>
        </w:rPr>
      </w:pPr>
      <w:r w:rsidRPr="006C63D3">
        <w:rPr>
          <w:rFonts w:ascii="Bookman Old Style" w:hAnsi="Bookman Old Style" w:cs="Arial"/>
          <w:sz w:val="22"/>
          <w:szCs w:val="22"/>
        </w:rPr>
        <w:t xml:space="preserve">3) </w:t>
      </w:r>
      <w:r w:rsidRPr="00E236FD">
        <w:rPr>
          <w:rFonts w:ascii="Bookman Old Style" w:hAnsi="Bookman Old Style" w:cs="Arial"/>
          <w:i/>
          <w:sz w:val="22"/>
          <w:szCs w:val="22"/>
        </w:rPr>
        <w:t>ridefinizione dei concetti di facile e difficile rimozione</w:t>
      </w:r>
      <w:r w:rsidRPr="006C63D3">
        <w:rPr>
          <w:rFonts w:ascii="Bookman Old Style" w:hAnsi="Bookman Old Style" w:cs="Arial"/>
          <w:sz w:val="22"/>
          <w:szCs w:val="22"/>
        </w:rPr>
        <w:t xml:space="preserve"> dei beni realizzati dai concessionari, tema rilevante anche ai fini della corresponsione di eventuali indennizzi;</w:t>
      </w:r>
    </w:p>
    <w:p w:rsidR="00F61829" w:rsidRPr="006C63D3" w:rsidRDefault="00F61829" w:rsidP="00E236FD">
      <w:pPr>
        <w:pStyle w:val="NormaleWeb"/>
        <w:spacing w:before="0" w:beforeAutospacing="0" w:after="120" w:afterAutospacing="0" w:line="312" w:lineRule="auto"/>
        <w:ind w:firstLine="360"/>
        <w:rPr>
          <w:rFonts w:ascii="Bookman Old Style" w:hAnsi="Bookman Old Style" w:cs="Arial"/>
          <w:sz w:val="22"/>
          <w:szCs w:val="22"/>
        </w:rPr>
      </w:pPr>
      <w:r>
        <w:rPr>
          <w:rFonts w:ascii="Bookman Old Style" w:hAnsi="Bookman Old Style" w:cs="Arial"/>
          <w:sz w:val="22"/>
          <w:szCs w:val="22"/>
        </w:rPr>
        <w:t xml:space="preserve">4) </w:t>
      </w:r>
      <w:r w:rsidRPr="00E236FD">
        <w:rPr>
          <w:rFonts w:ascii="Bookman Old Style" w:hAnsi="Bookman Old Style" w:cs="Arial"/>
          <w:i/>
          <w:sz w:val="22"/>
          <w:szCs w:val="22"/>
        </w:rPr>
        <w:t>previsione del valore commerciale dell’azienda</w:t>
      </w:r>
      <w:r w:rsidRPr="006C63D3">
        <w:rPr>
          <w:rFonts w:ascii="Bookman Old Style" w:hAnsi="Bookman Old Style" w:cs="Arial"/>
          <w:sz w:val="22"/>
          <w:szCs w:val="22"/>
        </w:rPr>
        <w:t xml:space="preserve">, </w:t>
      </w:r>
      <w:r>
        <w:rPr>
          <w:rFonts w:ascii="Bookman Old Style" w:hAnsi="Bookman Old Style" w:cs="Arial"/>
          <w:sz w:val="22"/>
          <w:szCs w:val="22"/>
        </w:rPr>
        <w:t xml:space="preserve">in base </w:t>
      </w:r>
      <w:r w:rsidRPr="006C63D3">
        <w:rPr>
          <w:rFonts w:ascii="Bookman Old Style" w:hAnsi="Bookman Old Style" w:cs="Arial"/>
          <w:sz w:val="22"/>
          <w:szCs w:val="22"/>
        </w:rPr>
        <w:t>agli investimenti effettuati, anche successivamente all’entrata in vigore delle leggi di proroga dei termini della scadenza delle concessioni demaniali marittime (Leggi  n. 25/2010 e n. 221/2012), ivi compreso l’avviamento commerciale, che potrà essere considerato elemento costitutivo della proposta di investimento;</w:t>
      </w:r>
    </w:p>
    <w:p w:rsidR="00F61829" w:rsidRPr="006C63D3" w:rsidRDefault="00F61829" w:rsidP="00E236FD">
      <w:pPr>
        <w:pStyle w:val="NormaleWeb"/>
        <w:spacing w:before="0" w:beforeAutospacing="0" w:after="120" w:afterAutospacing="0" w:line="312" w:lineRule="auto"/>
        <w:ind w:firstLine="360"/>
        <w:rPr>
          <w:rFonts w:ascii="Bookman Old Style" w:hAnsi="Bookman Old Style" w:cs="Arial"/>
          <w:sz w:val="22"/>
          <w:szCs w:val="22"/>
        </w:rPr>
      </w:pPr>
      <w:r w:rsidRPr="006C63D3">
        <w:rPr>
          <w:rFonts w:ascii="Bookman Old Style" w:hAnsi="Bookman Old Style" w:cs="Arial"/>
          <w:sz w:val="22"/>
          <w:szCs w:val="22"/>
        </w:rPr>
        <w:t xml:space="preserve">5) </w:t>
      </w:r>
      <w:r w:rsidRPr="00E236FD">
        <w:rPr>
          <w:rFonts w:ascii="Bookman Old Style" w:hAnsi="Bookman Old Style" w:cs="Arial"/>
          <w:i/>
          <w:sz w:val="22"/>
          <w:szCs w:val="22"/>
        </w:rPr>
        <w:t>riconoscimento della capacità tecnica dimostrata e della professionalità acquisita</w:t>
      </w:r>
      <w:r w:rsidRPr="006C63D3">
        <w:rPr>
          <w:rFonts w:ascii="Bookman Old Style" w:hAnsi="Bookman Old Style" w:cs="Arial"/>
          <w:sz w:val="22"/>
          <w:szCs w:val="22"/>
        </w:rPr>
        <w:t>, anche all'estero, nel settore balneare anche gestendo l’attività in forma diret</w:t>
      </w:r>
      <w:r>
        <w:rPr>
          <w:rFonts w:ascii="Bookman Old Style" w:hAnsi="Bookman Old Style" w:cs="Arial"/>
          <w:sz w:val="22"/>
          <w:szCs w:val="22"/>
        </w:rPr>
        <w:t>ta, quale elemento di premialità</w:t>
      </w:r>
      <w:r w:rsidRPr="006C63D3">
        <w:rPr>
          <w:rFonts w:ascii="Bookman Old Style" w:hAnsi="Bookman Old Style" w:cs="Arial"/>
          <w:sz w:val="22"/>
          <w:szCs w:val="22"/>
        </w:rPr>
        <w:t xml:space="preserve"> compatibile con il diritto comunitario e, per i soggetti non concessionari alla data di scadenza delle concessioni, dell’individuazione di requisiti morali e professionali cui subordinare l’accesso all’evidenza pubblica;</w:t>
      </w:r>
    </w:p>
    <w:p w:rsidR="00F61829" w:rsidRPr="006C63D3" w:rsidRDefault="00F61829" w:rsidP="00E236FD">
      <w:pPr>
        <w:pStyle w:val="NormaleWeb"/>
        <w:spacing w:before="0" w:beforeAutospacing="0" w:after="120" w:afterAutospacing="0" w:line="312" w:lineRule="auto"/>
        <w:ind w:firstLine="360"/>
        <w:rPr>
          <w:rFonts w:ascii="Bookman Old Style" w:hAnsi="Bookman Old Style" w:cs="Arial"/>
          <w:sz w:val="22"/>
          <w:szCs w:val="22"/>
        </w:rPr>
      </w:pPr>
      <w:r w:rsidRPr="006C63D3">
        <w:rPr>
          <w:rFonts w:ascii="Bookman Old Style" w:hAnsi="Bookman Old Style" w:cs="Arial"/>
          <w:sz w:val="22"/>
          <w:szCs w:val="22"/>
        </w:rPr>
        <w:t xml:space="preserve">6) </w:t>
      </w:r>
      <w:r w:rsidRPr="00E236FD">
        <w:rPr>
          <w:rFonts w:ascii="Bookman Old Style" w:hAnsi="Bookman Old Style" w:cs="Arial"/>
          <w:i/>
          <w:sz w:val="22"/>
          <w:szCs w:val="22"/>
        </w:rPr>
        <w:t>riconoscimento quali elementi di comparazione di forme di aggregazione fra imprese per lo svolgimento di attività e\o servizi di interesse pubblico o di pubblica utilità</w:t>
      </w:r>
      <w:r>
        <w:rPr>
          <w:rFonts w:ascii="Bookman Old Style" w:hAnsi="Bookman Old Style" w:cs="Arial"/>
          <w:sz w:val="22"/>
          <w:szCs w:val="22"/>
        </w:rPr>
        <w:t xml:space="preserve"> quali la </w:t>
      </w:r>
      <w:r w:rsidRPr="006C63D3">
        <w:rPr>
          <w:rFonts w:ascii="Bookman Old Style" w:hAnsi="Bookman Old Style" w:cs="Arial"/>
          <w:sz w:val="22"/>
          <w:szCs w:val="22"/>
        </w:rPr>
        <w:t>salvaguardia della pubblica incolumità, a cui essi provvedono assicurando il servizio di salvataggio e la costante segnalazione delle condizioni meteo-marine;</w:t>
      </w:r>
      <w:r>
        <w:rPr>
          <w:rFonts w:ascii="Bookman Old Style" w:hAnsi="Bookman Old Style" w:cs="Arial"/>
          <w:sz w:val="22"/>
          <w:szCs w:val="22"/>
        </w:rPr>
        <w:t xml:space="preserve"> </w:t>
      </w:r>
      <w:r w:rsidRPr="006C63D3">
        <w:rPr>
          <w:rFonts w:ascii="Bookman Old Style" w:hAnsi="Bookman Old Style" w:cs="Arial"/>
          <w:sz w:val="22"/>
          <w:szCs w:val="22"/>
        </w:rPr>
        <w:t>la tutela e il monitoraggio dell’ambiente costiero;</w:t>
      </w:r>
      <w:r>
        <w:rPr>
          <w:rFonts w:ascii="Bookman Old Style" w:hAnsi="Bookman Old Style" w:cs="Arial"/>
          <w:sz w:val="22"/>
          <w:szCs w:val="22"/>
        </w:rPr>
        <w:t xml:space="preserve"> </w:t>
      </w:r>
      <w:r w:rsidRPr="006C63D3">
        <w:rPr>
          <w:rFonts w:ascii="Bookman Old Style" w:hAnsi="Bookman Old Style" w:cs="Arial"/>
          <w:sz w:val="22"/>
          <w:szCs w:val="22"/>
        </w:rPr>
        <w:t>la cura dell’igiene e della sanità pubblica, le cure salsoiodiche e di elioterapia;</w:t>
      </w:r>
      <w:r>
        <w:rPr>
          <w:rFonts w:ascii="Bookman Old Style" w:hAnsi="Bookman Old Style" w:cs="Arial"/>
          <w:sz w:val="22"/>
          <w:szCs w:val="22"/>
        </w:rPr>
        <w:t xml:space="preserve"> </w:t>
      </w:r>
      <w:r w:rsidRPr="006C63D3">
        <w:rPr>
          <w:rFonts w:ascii="Bookman Old Style" w:hAnsi="Bookman Old Style" w:cs="Arial"/>
          <w:sz w:val="22"/>
          <w:szCs w:val="22"/>
        </w:rPr>
        <w:t>interventi, anche quelli già effettuati, di recupero ambientale, utilizzo di materiali ecocompatibili e di sviluppo delle energie rinnovabili;</w:t>
      </w:r>
      <w:r>
        <w:rPr>
          <w:rFonts w:ascii="Bookman Old Style" w:hAnsi="Bookman Old Style" w:cs="Arial"/>
          <w:sz w:val="22"/>
          <w:szCs w:val="22"/>
        </w:rPr>
        <w:t xml:space="preserve"> </w:t>
      </w:r>
      <w:r w:rsidRPr="006C63D3">
        <w:rPr>
          <w:rFonts w:ascii="Bookman Old Style" w:hAnsi="Bookman Old Style" w:cs="Arial"/>
          <w:sz w:val="22"/>
          <w:szCs w:val="22"/>
        </w:rPr>
        <w:t>il presidio della costa e la segnalazione di qualunque attività illecita alle autorità competenti;</w:t>
      </w:r>
    </w:p>
    <w:p w:rsidR="00F61829" w:rsidRPr="006C63D3" w:rsidRDefault="00F61829" w:rsidP="00E236FD">
      <w:pPr>
        <w:pStyle w:val="NormaleWeb"/>
        <w:spacing w:before="0" w:beforeAutospacing="0" w:after="120" w:afterAutospacing="0" w:line="312" w:lineRule="auto"/>
        <w:ind w:firstLine="360"/>
        <w:rPr>
          <w:rFonts w:ascii="Bookman Old Style" w:hAnsi="Bookman Old Style" w:cs="Arial"/>
          <w:sz w:val="22"/>
          <w:szCs w:val="22"/>
        </w:rPr>
      </w:pPr>
      <w:r w:rsidRPr="006C63D3">
        <w:rPr>
          <w:rFonts w:ascii="Bookman Old Style" w:hAnsi="Bookman Old Style" w:cs="Arial"/>
          <w:sz w:val="22"/>
          <w:szCs w:val="22"/>
        </w:rPr>
        <w:t xml:space="preserve">7) </w:t>
      </w:r>
      <w:r w:rsidRPr="00E236FD">
        <w:rPr>
          <w:rFonts w:ascii="Bookman Old Style" w:hAnsi="Bookman Old Style" w:cs="Arial"/>
          <w:i/>
          <w:sz w:val="22"/>
          <w:szCs w:val="22"/>
        </w:rPr>
        <w:t>riconoscimento di un indennizzo a carico del concessionario subentrante a favore di quello uscente</w:t>
      </w:r>
      <w:r w:rsidRPr="006C63D3">
        <w:rPr>
          <w:rFonts w:ascii="Bookman Old Style" w:hAnsi="Bookman Old Style" w:cs="Arial"/>
          <w:sz w:val="22"/>
          <w:szCs w:val="22"/>
        </w:rPr>
        <w:t xml:space="preserve">, garantito da idonea fidejussione e pari al valore commerciale dell’azienda determinato con riguardo all’avviamento commerciale, ai manufatti, alle strutture e alle attrezzature esistenti in concessione ed impiegate nell’attività, eventualmente consacrato da una perizia asseverata; </w:t>
      </w:r>
    </w:p>
    <w:p w:rsidR="00F61829" w:rsidRPr="006C63D3" w:rsidRDefault="00F61829" w:rsidP="00E236FD">
      <w:pPr>
        <w:pStyle w:val="NormaleWeb"/>
        <w:spacing w:before="0" w:beforeAutospacing="0" w:after="120" w:afterAutospacing="0" w:line="312" w:lineRule="auto"/>
        <w:ind w:firstLine="360"/>
        <w:rPr>
          <w:rFonts w:ascii="Bookman Old Style" w:hAnsi="Bookman Old Style" w:cs="Arial"/>
          <w:sz w:val="22"/>
          <w:szCs w:val="22"/>
        </w:rPr>
      </w:pPr>
      <w:r w:rsidRPr="006C63D3">
        <w:rPr>
          <w:rFonts w:ascii="Bookman Old Style" w:hAnsi="Bookman Old Style" w:cs="Arial"/>
          <w:sz w:val="22"/>
          <w:szCs w:val="22"/>
        </w:rPr>
        <w:t xml:space="preserve">8) </w:t>
      </w:r>
      <w:r w:rsidRPr="00DE627B">
        <w:rPr>
          <w:rFonts w:ascii="Bookman Old Style" w:hAnsi="Bookman Old Style" w:cs="Arial"/>
          <w:i/>
          <w:sz w:val="22"/>
          <w:szCs w:val="22"/>
        </w:rPr>
        <w:t>individuazione di un numero massimo di concessioni</w:t>
      </w:r>
      <w:r w:rsidRPr="006C63D3">
        <w:rPr>
          <w:rFonts w:ascii="Bookman Old Style" w:hAnsi="Bookman Old Style" w:cs="Arial"/>
          <w:sz w:val="22"/>
          <w:szCs w:val="22"/>
        </w:rPr>
        <w:t xml:space="preserve"> di cui un soggetto economico, direttamente o indirettamente, possa essere titolare in una stessa località o Regione per evitare illegittime e, comunque, inopportune forme di </w:t>
      </w:r>
      <w:r>
        <w:rPr>
          <w:rFonts w:ascii="Bookman Old Style" w:hAnsi="Bookman Old Style" w:cs="Arial"/>
          <w:sz w:val="22"/>
          <w:szCs w:val="22"/>
        </w:rPr>
        <w:t>concentrazione o vero e proprio “</w:t>
      </w:r>
      <w:r w:rsidRPr="006C63D3">
        <w:rPr>
          <w:rFonts w:ascii="Bookman Old Style" w:hAnsi="Bookman Old Style" w:cs="Arial"/>
          <w:sz w:val="22"/>
          <w:szCs w:val="22"/>
        </w:rPr>
        <w:t>accaparramento</w:t>
      </w:r>
      <w:r>
        <w:rPr>
          <w:rFonts w:ascii="Bookman Old Style" w:hAnsi="Bookman Old Style" w:cs="Arial"/>
          <w:sz w:val="22"/>
          <w:szCs w:val="22"/>
        </w:rPr>
        <w:t>”</w:t>
      </w:r>
      <w:r w:rsidRPr="006C63D3">
        <w:rPr>
          <w:rFonts w:ascii="Bookman Old Style" w:hAnsi="Bookman Old Style" w:cs="Arial"/>
          <w:sz w:val="22"/>
          <w:szCs w:val="22"/>
        </w:rPr>
        <w:t xml:space="preserve">. Individuare anche il numero massimo di procedure ad evidenza </w:t>
      </w:r>
      <w:r w:rsidRPr="006C63D3">
        <w:rPr>
          <w:rFonts w:ascii="Bookman Old Style" w:hAnsi="Bookman Old Style" w:cs="Arial"/>
          <w:sz w:val="22"/>
          <w:szCs w:val="22"/>
        </w:rPr>
        <w:lastRenderedPageBreak/>
        <w:t xml:space="preserve">pubblica a cui può partecipare un singolo soggetto e/o società a qualsiasi titolo costituita; </w:t>
      </w:r>
    </w:p>
    <w:p w:rsidR="00F61829" w:rsidRPr="006C63D3" w:rsidRDefault="00F61829" w:rsidP="00DE627B">
      <w:pPr>
        <w:pStyle w:val="NormaleWeb"/>
        <w:spacing w:before="0" w:beforeAutospacing="0" w:after="120" w:afterAutospacing="0" w:line="312" w:lineRule="auto"/>
        <w:ind w:firstLine="360"/>
        <w:rPr>
          <w:rFonts w:ascii="Bookman Old Style" w:hAnsi="Bookman Old Style" w:cs="Arial"/>
          <w:sz w:val="22"/>
          <w:szCs w:val="22"/>
        </w:rPr>
      </w:pPr>
      <w:r w:rsidRPr="006C63D3">
        <w:rPr>
          <w:rFonts w:ascii="Bookman Old Style" w:hAnsi="Bookman Old Style" w:cs="Arial"/>
          <w:sz w:val="22"/>
          <w:szCs w:val="22"/>
        </w:rPr>
        <w:t xml:space="preserve">9) </w:t>
      </w:r>
      <w:r w:rsidRPr="00DE627B">
        <w:rPr>
          <w:rFonts w:ascii="Bookman Old Style" w:hAnsi="Bookman Old Style" w:cs="Arial"/>
          <w:i/>
          <w:sz w:val="22"/>
          <w:szCs w:val="22"/>
        </w:rPr>
        <w:t>puntuale definizione delle cause di decadenza e revoca delle concessioni</w:t>
      </w:r>
      <w:r w:rsidRPr="006C63D3">
        <w:rPr>
          <w:rFonts w:ascii="Bookman Old Style" w:hAnsi="Bookman Old Style" w:cs="Arial"/>
          <w:sz w:val="22"/>
          <w:szCs w:val="22"/>
        </w:rPr>
        <w:t>, così da evitarne il disordinato, confuso ed impreciso moltiplicarsi e l'adempimento delle funzioni di servizio di interesse economico generale. In vista di tali funzioni, le Leggi regionali potranno anche stabilire il divieto di subconcessioni;</w:t>
      </w:r>
    </w:p>
    <w:p w:rsidR="00F61829" w:rsidRPr="006C63D3" w:rsidRDefault="00F61829" w:rsidP="00DE627B">
      <w:pPr>
        <w:pStyle w:val="NormaleWeb"/>
        <w:spacing w:before="0" w:beforeAutospacing="0" w:after="120" w:afterAutospacing="0" w:line="312" w:lineRule="auto"/>
        <w:ind w:firstLine="360"/>
        <w:rPr>
          <w:rFonts w:ascii="Bookman Old Style" w:hAnsi="Bookman Old Style" w:cs="Arial"/>
          <w:sz w:val="22"/>
          <w:szCs w:val="22"/>
        </w:rPr>
      </w:pPr>
      <w:r w:rsidRPr="006C63D3">
        <w:rPr>
          <w:rFonts w:ascii="Bookman Old Style" w:hAnsi="Bookman Old Style" w:cs="Arial"/>
          <w:sz w:val="22"/>
          <w:szCs w:val="22"/>
        </w:rPr>
        <w:t xml:space="preserve">10) </w:t>
      </w:r>
      <w:r w:rsidRPr="00DE627B">
        <w:rPr>
          <w:rFonts w:ascii="Bookman Old Style" w:hAnsi="Bookman Old Style" w:cs="Arial"/>
          <w:i/>
          <w:sz w:val="22"/>
          <w:szCs w:val="22"/>
        </w:rPr>
        <w:t>facoltà di rinegoziazione del titolo concessorio</w:t>
      </w:r>
      <w:r w:rsidRPr="006C63D3">
        <w:rPr>
          <w:rFonts w:ascii="Bookman Old Style" w:hAnsi="Bookman Old Style" w:cs="Arial"/>
          <w:sz w:val="22"/>
          <w:szCs w:val="22"/>
        </w:rPr>
        <w:t>, con esclusione di procedure concorrenziali, per l’esecuzione di investimenti da effettuarsi anche in forma associata, sia nell’ambito della concessione ottenuta sia all’esterno su aree pubbliche, non previsti, urgenti e non differibili o in attuazione di Accordi di programma definiti con le Pubbliche Amministrazioni con possibile differimento del termine originario di scadenza delle concessioni per un periodo equivalente al massimo previsto dalla legge.</w:t>
      </w:r>
    </w:p>
    <w:p w:rsidR="00F61829" w:rsidRPr="006C63D3" w:rsidRDefault="00F61829" w:rsidP="006C63D3">
      <w:pPr>
        <w:pStyle w:val="NormaleWeb"/>
        <w:spacing w:before="0" w:beforeAutospacing="0" w:after="120" w:afterAutospacing="0" w:line="312" w:lineRule="auto"/>
        <w:rPr>
          <w:rFonts w:ascii="Bookman Old Style" w:hAnsi="Bookman Old Style" w:cs="Arial"/>
          <w:sz w:val="22"/>
          <w:szCs w:val="22"/>
        </w:rPr>
      </w:pPr>
      <w:r w:rsidRPr="006C63D3">
        <w:rPr>
          <w:rFonts w:ascii="Bookman Old Style" w:hAnsi="Bookman Old Style" w:cs="Arial"/>
          <w:sz w:val="22"/>
          <w:szCs w:val="22"/>
        </w:rPr>
        <w:t>Ai criteri di cui sopra in parte già individuati dalla Legge comunitaria 2010 si ritiene di dover aggiungere i seguenti:</w:t>
      </w:r>
    </w:p>
    <w:p w:rsidR="00F61829" w:rsidRPr="006C63D3" w:rsidRDefault="00F61829" w:rsidP="00195D2F">
      <w:pPr>
        <w:pStyle w:val="NormaleWeb"/>
        <w:spacing w:before="0" w:beforeAutospacing="0" w:after="120" w:afterAutospacing="0" w:line="312" w:lineRule="auto"/>
        <w:rPr>
          <w:rFonts w:ascii="Bookman Old Style" w:hAnsi="Bookman Old Style" w:cs="Arial"/>
          <w:sz w:val="22"/>
          <w:szCs w:val="22"/>
        </w:rPr>
      </w:pPr>
      <w:r>
        <w:rPr>
          <w:rFonts w:ascii="Bookman Old Style" w:hAnsi="Bookman Old Style" w:cs="Arial"/>
          <w:sz w:val="22"/>
          <w:szCs w:val="22"/>
        </w:rPr>
        <w:t xml:space="preserve">     11) </w:t>
      </w:r>
      <w:r w:rsidRPr="00195D2F">
        <w:rPr>
          <w:rFonts w:ascii="Bookman Old Style" w:hAnsi="Bookman Old Style" w:cs="Arial"/>
          <w:i/>
          <w:sz w:val="22"/>
          <w:szCs w:val="22"/>
        </w:rPr>
        <w:t>facoltà per gli Enti locali di riconoscimento di forme di premialità per soggetti e imprese</w:t>
      </w:r>
      <w:r w:rsidRPr="006C63D3">
        <w:rPr>
          <w:rFonts w:ascii="Bookman Old Style" w:hAnsi="Bookman Old Style" w:cs="Arial"/>
          <w:sz w:val="22"/>
          <w:szCs w:val="22"/>
        </w:rPr>
        <w:t xml:space="preserve"> che intendano investire in progetti di riqualificazione dell’area in concessione e dello stabilimento balneare, progetti coerenti e complementari con le previsioni degli strumenti urbanistici e di programmazione territoriale e di pianificazione strategica;</w:t>
      </w:r>
    </w:p>
    <w:p w:rsidR="00F61829" w:rsidRPr="006C63D3" w:rsidRDefault="00F61829" w:rsidP="00195D2F">
      <w:pPr>
        <w:pStyle w:val="NormaleWeb"/>
        <w:spacing w:before="0" w:beforeAutospacing="0" w:after="120" w:afterAutospacing="0" w:line="312" w:lineRule="auto"/>
        <w:rPr>
          <w:rFonts w:ascii="Bookman Old Style" w:hAnsi="Bookman Old Style" w:cs="Arial"/>
          <w:sz w:val="22"/>
          <w:szCs w:val="22"/>
        </w:rPr>
      </w:pPr>
      <w:r>
        <w:rPr>
          <w:rFonts w:ascii="Bookman Old Style" w:hAnsi="Bookman Old Style" w:cs="Arial"/>
          <w:sz w:val="22"/>
          <w:szCs w:val="22"/>
        </w:rPr>
        <w:t xml:space="preserve">     </w:t>
      </w:r>
      <w:r w:rsidRPr="006C63D3">
        <w:rPr>
          <w:rFonts w:ascii="Bookman Old Style" w:hAnsi="Bookman Old Style" w:cs="Arial"/>
          <w:sz w:val="22"/>
          <w:szCs w:val="22"/>
        </w:rPr>
        <w:t xml:space="preserve">12) </w:t>
      </w:r>
      <w:r w:rsidRPr="00195D2F">
        <w:rPr>
          <w:rFonts w:ascii="Bookman Old Style" w:hAnsi="Bookman Old Style" w:cs="Arial"/>
          <w:i/>
          <w:sz w:val="22"/>
          <w:szCs w:val="22"/>
        </w:rPr>
        <w:t>facoltà per gli Enti Locali di riconoscimento di forme di premialità per progetti</w:t>
      </w:r>
      <w:r w:rsidRPr="006C63D3">
        <w:rPr>
          <w:rFonts w:ascii="Bookman Old Style" w:hAnsi="Bookman Old Style" w:cs="Arial"/>
          <w:sz w:val="22"/>
          <w:szCs w:val="22"/>
        </w:rPr>
        <w:t xml:space="preserve"> che coerentemente co</w:t>
      </w:r>
      <w:r>
        <w:rPr>
          <w:rFonts w:ascii="Bookman Old Style" w:hAnsi="Bookman Old Style" w:cs="Arial"/>
          <w:sz w:val="22"/>
          <w:szCs w:val="22"/>
        </w:rPr>
        <w:t>n il punto 11 preveda</w:t>
      </w:r>
      <w:r w:rsidRPr="006C63D3">
        <w:rPr>
          <w:rFonts w:ascii="Bookman Old Style" w:hAnsi="Bookman Old Style" w:cs="Arial"/>
          <w:sz w:val="22"/>
          <w:szCs w:val="22"/>
        </w:rPr>
        <w:t>no aggregazioni e accorpamenti di più stabilimenti balneari e aree in concessione (come da previsione degli strumenti urbanistici dei diversi territori italiani).</w:t>
      </w:r>
    </w:p>
    <w:p w:rsidR="00F61829" w:rsidRPr="006C63D3" w:rsidRDefault="00F61829" w:rsidP="006C63D3">
      <w:pPr>
        <w:pStyle w:val="NormaleWeb"/>
        <w:spacing w:before="0" w:beforeAutospacing="0" w:after="120" w:afterAutospacing="0" w:line="312" w:lineRule="auto"/>
        <w:rPr>
          <w:rFonts w:ascii="Bookman Old Style" w:hAnsi="Bookman Old Style" w:cs="Arial"/>
          <w:sz w:val="22"/>
          <w:szCs w:val="22"/>
        </w:rPr>
      </w:pPr>
    </w:p>
    <w:p w:rsidR="00F61829" w:rsidRPr="00A30132" w:rsidRDefault="00F61829" w:rsidP="00A30132">
      <w:pPr>
        <w:pStyle w:val="NormaleWeb"/>
        <w:spacing w:before="0" w:beforeAutospacing="0" w:after="120" w:afterAutospacing="0" w:line="312" w:lineRule="auto"/>
        <w:ind w:firstLine="708"/>
        <w:rPr>
          <w:rFonts w:ascii="Bookman Old Style" w:hAnsi="Bookman Old Style" w:cs="Arial"/>
          <w:i/>
          <w:sz w:val="22"/>
          <w:szCs w:val="22"/>
          <w:u w:val="single"/>
        </w:rPr>
      </w:pPr>
      <w:r w:rsidRPr="00A30132">
        <w:rPr>
          <w:rFonts w:ascii="Bookman Old Style" w:hAnsi="Bookman Old Style" w:cs="Arial"/>
          <w:i/>
          <w:sz w:val="22"/>
          <w:szCs w:val="22"/>
          <w:u w:val="single"/>
        </w:rPr>
        <w:t>Attuazione del federalismo demaniale e determinazione dei canoni</w:t>
      </w:r>
    </w:p>
    <w:p w:rsidR="00F61829" w:rsidRPr="006C63D3" w:rsidRDefault="00F61829" w:rsidP="00A30132">
      <w:pPr>
        <w:pStyle w:val="NormaleWeb"/>
        <w:spacing w:before="0" w:beforeAutospacing="0" w:after="120" w:afterAutospacing="0" w:line="312" w:lineRule="auto"/>
        <w:ind w:firstLine="708"/>
        <w:rPr>
          <w:rFonts w:ascii="Bookman Old Style" w:hAnsi="Bookman Old Style" w:cs="Arial"/>
          <w:sz w:val="22"/>
          <w:szCs w:val="22"/>
        </w:rPr>
      </w:pPr>
      <w:r w:rsidRPr="006C63D3">
        <w:rPr>
          <w:rFonts w:ascii="Bookman Old Style" w:hAnsi="Bookman Old Style" w:cs="Arial"/>
          <w:sz w:val="22"/>
          <w:szCs w:val="22"/>
        </w:rPr>
        <w:t>Com'è noto l'art. 3, punto 1, lettera a), del citato D.lgs n. 85/2010 dispone che ” sono trasferiti alle Regioni, unitamente alle relative pertinenze, i beni del demanio marittimo di cui all'art. 5, comma 1, lettera a)....”; il successivo art. 5, comma 1, lettera a) del medesimo Decreto legislativo individua quali beni trasferibili  quelli definiti dall'art. 822 del codice civile e dall'art. 28 del Codice della Navigazione, con esclusione di quelli direttamente utilizzati dalle Amministrazioni statali, ovvero  il lido, la spiaggia, i porti, le rade, le lagune ecc...</w:t>
      </w:r>
    </w:p>
    <w:p w:rsidR="00F61829" w:rsidRPr="006C63D3" w:rsidRDefault="00F61829" w:rsidP="00A30132">
      <w:pPr>
        <w:pStyle w:val="NormaleWeb"/>
        <w:spacing w:before="0" w:beforeAutospacing="0" w:after="120" w:afterAutospacing="0" w:line="312" w:lineRule="auto"/>
        <w:ind w:firstLine="708"/>
        <w:rPr>
          <w:rFonts w:ascii="Bookman Old Style" w:hAnsi="Bookman Old Style" w:cs="Arial"/>
          <w:sz w:val="22"/>
          <w:szCs w:val="22"/>
        </w:rPr>
      </w:pPr>
      <w:r w:rsidRPr="006C63D3">
        <w:rPr>
          <w:rFonts w:ascii="Bookman Old Style" w:hAnsi="Bookman Old Style" w:cs="Arial"/>
          <w:sz w:val="22"/>
          <w:szCs w:val="22"/>
        </w:rPr>
        <w:t>In coerenza e continuità con quanto</w:t>
      </w:r>
      <w:r>
        <w:rPr>
          <w:rFonts w:ascii="Bookman Old Style" w:hAnsi="Bookman Old Style" w:cs="Arial"/>
          <w:sz w:val="22"/>
          <w:szCs w:val="22"/>
        </w:rPr>
        <w:t xml:space="preserve"> l'art. 56 bis del Decreto del f</w:t>
      </w:r>
      <w:r w:rsidRPr="006C63D3">
        <w:rPr>
          <w:rFonts w:ascii="Bookman Old Style" w:hAnsi="Bookman Old Style" w:cs="Arial"/>
          <w:sz w:val="22"/>
          <w:szCs w:val="22"/>
        </w:rPr>
        <w:t>are ha previsto per i beni patrimoniali dello Stato, dovrebbe essere data attuazione alle disposizioni del D.lgs 85/2010 anche in materia di demanio marittimo.</w:t>
      </w:r>
    </w:p>
    <w:p w:rsidR="00F61829" w:rsidRPr="006C63D3" w:rsidRDefault="00F61829" w:rsidP="00A30132">
      <w:pPr>
        <w:pStyle w:val="NormaleWeb"/>
        <w:spacing w:before="0" w:beforeAutospacing="0" w:after="120" w:afterAutospacing="0" w:line="312" w:lineRule="auto"/>
        <w:ind w:firstLine="708"/>
        <w:rPr>
          <w:rFonts w:ascii="Bookman Old Style" w:hAnsi="Bookman Old Style" w:cs="Arial"/>
          <w:sz w:val="22"/>
          <w:szCs w:val="22"/>
        </w:rPr>
      </w:pPr>
      <w:r w:rsidRPr="006C63D3">
        <w:rPr>
          <w:rFonts w:ascii="Bookman Old Style" w:hAnsi="Bookman Old Style" w:cs="Arial"/>
          <w:sz w:val="22"/>
          <w:szCs w:val="22"/>
        </w:rPr>
        <w:t>Il Decreto legislativo che, ai sensi della Legge comunitaria per l'anno 2010, dovrebbe individuare le modalità ed i principi per l'attribuzione delle concessioni demaniali marittime, pertanto, non potrà che contenere una disciplina coerente con le previsioni del Federalismo demaniale.</w:t>
      </w:r>
    </w:p>
    <w:p w:rsidR="00F61829" w:rsidRPr="006C63D3" w:rsidRDefault="00F61829" w:rsidP="00A30132">
      <w:pPr>
        <w:pStyle w:val="NormaleWeb"/>
        <w:spacing w:before="0" w:beforeAutospacing="0" w:after="120" w:afterAutospacing="0" w:line="312" w:lineRule="auto"/>
        <w:ind w:firstLine="708"/>
        <w:rPr>
          <w:rFonts w:ascii="Bookman Old Style" w:hAnsi="Bookman Old Style" w:cs="Arial"/>
          <w:sz w:val="22"/>
          <w:szCs w:val="22"/>
        </w:rPr>
      </w:pPr>
      <w:r w:rsidRPr="006C63D3">
        <w:rPr>
          <w:rFonts w:ascii="Bookman Old Style" w:hAnsi="Bookman Old Style" w:cs="Arial"/>
          <w:sz w:val="22"/>
          <w:szCs w:val="22"/>
        </w:rPr>
        <w:lastRenderedPageBreak/>
        <w:t>La valorizzazione delle concessioni demaniali marittime, infatti, si potrà m</w:t>
      </w:r>
      <w:r>
        <w:rPr>
          <w:rFonts w:ascii="Bookman Old Style" w:hAnsi="Bookman Old Style" w:cs="Arial"/>
          <w:sz w:val="22"/>
          <w:szCs w:val="22"/>
        </w:rPr>
        <w:t>eglio</w:t>
      </w:r>
      <w:r w:rsidRPr="006C63D3">
        <w:rPr>
          <w:rFonts w:ascii="Bookman Old Style" w:hAnsi="Bookman Old Style" w:cs="Arial"/>
          <w:sz w:val="22"/>
          <w:szCs w:val="22"/>
        </w:rPr>
        <w:t xml:space="preserve"> conseguire se nell'ambito dei criteri di carattere generale previsti per la loro assegnazione, si concederanno maggior spazi di manovra ed autonomia agli Enti locali; solo a livello locale, infatti, attraverso la conoscenza del proprio territorio e delle caratteristiche delle varie tipologie di attività che si svolgono sull'arenile, è possibile predisporre una disciplina che, pur in armonia con i principi comunitari, salvaguardi l'identità delle proprie imprese nonché quelle tradizioni e/o modalità di gestione degli stabilimenti balneari che connotano il proprio prodotto turistico e ne costituiscono  nel contempo il valore aggiunto.</w:t>
      </w:r>
    </w:p>
    <w:p w:rsidR="00F61829" w:rsidRPr="006C63D3" w:rsidRDefault="00F61829" w:rsidP="00A30132">
      <w:pPr>
        <w:pStyle w:val="NormaleWeb"/>
        <w:spacing w:before="0" w:beforeAutospacing="0" w:after="120" w:afterAutospacing="0" w:line="312" w:lineRule="auto"/>
        <w:ind w:firstLine="708"/>
        <w:rPr>
          <w:rFonts w:ascii="Bookman Old Style" w:hAnsi="Bookman Old Style" w:cs="Arial"/>
          <w:sz w:val="22"/>
          <w:szCs w:val="22"/>
        </w:rPr>
      </w:pPr>
      <w:r w:rsidRPr="006C63D3">
        <w:rPr>
          <w:rFonts w:ascii="Bookman Old Style" w:hAnsi="Bookman Old Style" w:cs="Arial"/>
          <w:sz w:val="22"/>
          <w:szCs w:val="22"/>
        </w:rPr>
        <w:t>Con il trasferimento dei beni del demanio marittimo alle Regioni, andrebbero attribuite alle stesse anche le funzioni relative alla definizione dei criteri per la determinazione dei canoni di concessione  nonché l’introito dei proventi derivanti dall’utilizzo dei beni medesimi.</w:t>
      </w:r>
    </w:p>
    <w:p w:rsidR="00F61829" w:rsidRPr="006C63D3" w:rsidRDefault="00F61829" w:rsidP="00A30132">
      <w:pPr>
        <w:pStyle w:val="NormaleWeb"/>
        <w:spacing w:before="0" w:beforeAutospacing="0" w:after="120" w:afterAutospacing="0" w:line="312" w:lineRule="auto"/>
        <w:ind w:firstLine="708"/>
        <w:rPr>
          <w:rFonts w:ascii="Bookman Old Style" w:hAnsi="Bookman Old Style" w:cs="Arial"/>
          <w:sz w:val="22"/>
          <w:szCs w:val="22"/>
        </w:rPr>
      </w:pPr>
      <w:r w:rsidRPr="006C63D3">
        <w:rPr>
          <w:rFonts w:ascii="Bookman Old Style" w:hAnsi="Bookman Old Style" w:cs="Arial"/>
          <w:sz w:val="22"/>
          <w:szCs w:val="22"/>
        </w:rPr>
        <w:t>Il canone complessivo dovrebbe poi essere suddiviso in percentuale fra Regioni e Comuni.</w:t>
      </w:r>
    </w:p>
    <w:p w:rsidR="00F61829" w:rsidRPr="006C63D3" w:rsidRDefault="00F61829" w:rsidP="006C63D3">
      <w:pPr>
        <w:pStyle w:val="NormaleWeb"/>
        <w:spacing w:before="0" w:beforeAutospacing="0" w:after="120" w:afterAutospacing="0" w:line="312" w:lineRule="auto"/>
        <w:rPr>
          <w:rFonts w:ascii="Bookman Old Style" w:hAnsi="Bookman Old Style" w:cs="Arial"/>
          <w:sz w:val="22"/>
          <w:szCs w:val="22"/>
        </w:rPr>
      </w:pPr>
    </w:p>
    <w:p w:rsidR="00F61829" w:rsidRPr="00A30132" w:rsidRDefault="00F61829" w:rsidP="00A30132">
      <w:pPr>
        <w:pStyle w:val="NormaleWeb"/>
        <w:spacing w:before="0" w:beforeAutospacing="0" w:after="120" w:afterAutospacing="0" w:line="312" w:lineRule="auto"/>
        <w:ind w:firstLine="708"/>
        <w:rPr>
          <w:rFonts w:ascii="Bookman Old Style" w:hAnsi="Bookman Old Style" w:cs="Arial"/>
          <w:i/>
          <w:sz w:val="22"/>
          <w:szCs w:val="22"/>
          <w:u w:val="single"/>
        </w:rPr>
      </w:pPr>
      <w:r w:rsidRPr="00A30132">
        <w:rPr>
          <w:rFonts w:ascii="Bookman Old Style" w:hAnsi="Bookman Old Style" w:cs="Arial"/>
          <w:i/>
          <w:sz w:val="22"/>
          <w:szCs w:val="22"/>
          <w:u w:val="single"/>
        </w:rPr>
        <w:t>Procedure di assegnazione delle concessioni</w:t>
      </w:r>
    </w:p>
    <w:p w:rsidR="00F61829" w:rsidRPr="006C63D3" w:rsidRDefault="00F61829" w:rsidP="00A30132">
      <w:pPr>
        <w:pStyle w:val="NormaleWeb"/>
        <w:spacing w:before="0" w:beforeAutospacing="0" w:after="120" w:afterAutospacing="0" w:line="312" w:lineRule="auto"/>
        <w:ind w:firstLine="708"/>
        <w:rPr>
          <w:rFonts w:ascii="Bookman Old Style" w:hAnsi="Bookman Old Style" w:cs="Arial"/>
          <w:sz w:val="22"/>
          <w:szCs w:val="22"/>
        </w:rPr>
      </w:pPr>
      <w:r w:rsidRPr="006C63D3">
        <w:rPr>
          <w:rFonts w:ascii="Bookman Old Style" w:hAnsi="Bookman Old Style" w:cs="Arial"/>
          <w:sz w:val="22"/>
          <w:szCs w:val="22"/>
        </w:rPr>
        <w:t>Le procedure di assegnazione delle concessioni dovranno garantire adeguata pubblicità mediante pubblicazione con congruo anticipo sugli organi di informazione comunali e regionali.</w:t>
      </w:r>
      <w:r>
        <w:rPr>
          <w:rFonts w:ascii="Bookman Old Style" w:hAnsi="Bookman Old Style" w:cs="Arial"/>
          <w:sz w:val="22"/>
          <w:szCs w:val="22"/>
        </w:rPr>
        <w:t xml:space="preserve"> </w:t>
      </w:r>
      <w:r w:rsidRPr="006C63D3">
        <w:rPr>
          <w:rFonts w:ascii="Bookman Old Style" w:hAnsi="Bookman Old Style" w:cs="Arial"/>
          <w:sz w:val="22"/>
          <w:szCs w:val="22"/>
        </w:rPr>
        <w:t xml:space="preserve">Nel rispetto dei principi quadro fissati dalla Legge Comunitaria 2010 e dal Decreto legislativo di attuazione, i criteri di assegnazione saranno fissati dalle Regioni, che indicheranno gli specifici obblighi di servizio di interesse generale. </w:t>
      </w:r>
    </w:p>
    <w:p w:rsidR="00F61829" w:rsidRPr="006C63D3" w:rsidRDefault="00F61829" w:rsidP="00A30132">
      <w:pPr>
        <w:pStyle w:val="NormaleWeb"/>
        <w:spacing w:before="0" w:beforeAutospacing="0" w:after="120" w:afterAutospacing="0" w:line="312" w:lineRule="auto"/>
        <w:ind w:firstLine="708"/>
        <w:rPr>
          <w:rFonts w:ascii="Bookman Old Style" w:hAnsi="Bookman Old Style" w:cs="Arial"/>
          <w:sz w:val="22"/>
          <w:szCs w:val="22"/>
        </w:rPr>
      </w:pPr>
      <w:r w:rsidRPr="006C63D3">
        <w:rPr>
          <w:rFonts w:ascii="Bookman Old Style" w:hAnsi="Bookman Old Style" w:cs="Arial"/>
          <w:sz w:val="22"/>
          <w:szCs w:val="22"/>
        </w:rPr>
        <w:t>I Comuni gestiranno i bandi e opereranno le valutazioni e l’assegnazione del punteggio. Le singole procedure saranno bandite dai Comuni che ne indicheranno la durata e le dimensioni in coerenza con i piani dell'arenile e con le specifiche missioni di servizio di interesse economico generale.</w:t>
      </w:r>
    </w:p>
    <w:p w:rsidR="00F61829" w:rsidRPr="006C63D3" w:rsidRDefault="00F61829" w:rsidP="00A30132">
      <w:pPr>
        <w:pStyle w:val="NormaleWeb"/>
        <w:spacing w:before="0" w:beforeAutospacing="0" w:after="120" w:afterAutospacing="0" w:line="312" w:lineRule="auto"/>
        <w:ind w:firstLine="708"/>
        <w:rPr>
          <w:rFonts w:ascii="Bookman Old Style" w:hAnsi="Bookman Old Style" w:cs="Arial"/>
          <w:sz w:val="22"/>
          <w:szCs w:val="22"/>
        </w:rPr>
      </w:pPr>
      <w:r w:rsidRPr="006C63D3">
        <w:rPr>
          <w:rFonts w:ascii="Bookman Old Style" w:hAnsi="Bookman Old Style" w:cs="Arial"/>
          <w:sz w:val="22"/>
          <w:szCs w:val="22"/>
        </w:rPr>
        <w:t>I singoli bandi dovranno menzionare chiaramente le condizioni stabilite dalla legge comunitaria del 2010, dal Decreto legislativo di attuazione e dalle leggi regionali.</w:t>
      </w:r>
    </w:p>
    <w:p w:rsidR="00F61829" w:rsidRPr="006C63D3" w:rsidRDefault="00F61829" w:rsidP="00A30132">
      <w:pPr>
        <w:pStyle w:val="NormaleWeb"/>
        <w:spacing w:before="0" w:beforeAutospacing="0" w:after="120" w:afterAutospacing="0" w:line="312" w:lineRule="auto"/>
        <w:ind w:firstLine="708"/>
        <w:rPr>
          <w:rFonts w:ascii="Bookman Old Style" w:hAnsi="Bookman Old Style" w:cs="Arial"/>
          <w:sz w:val="22"/>
          <w:szCs w:val="22"/>
        </w:rPr>
      </w:pPr>
      <w:r w:rsidRPr="006C63D3">
        <w:rPr>
          <w:rFonts w:ascii="Bookman Old Style" w:hAnsi="Bookman Old Style" w:cs="Arial"/>
          <w:sz w:val="22"/>
          <w:szCs w:val="22"/>
        </w:rPr>
        <w:t xml:space="preserve">Le Regioni, in accordo con i singoli Comuni, possono anticipare, per ragioni legate alla specifica missione di interesse generale, la scadenza delle concessioni attualmente fissata al 31/12/2020; questa  proposta  viene avanzata al fine di fornire quanto prima un quadro di certezza agli operatori e per incentivarli ad investire nella riqualificazione delle loro imprese e delle aree adiacenti. </w:t>
      </w:r>
    </w:p>
    <w:p w:rsidR="00F61829" w:rsidRDefault="00F61829" w:rsidP="004C1319">
      <w:pPr>
        <w:numPr>
          <w:ilvl w:val="0"/>
          <w:numId w:val="2"/>
        </w:numPr>
        <w:spacing w:after="200" w:line="276" w:lineRule="auto"/>
        <w:rPr>
          <w:rFonts w:ascii="Bookman Old Style" w:hAnsi="Bookman Old Style" w:cs="Arial"/>
          <w:b/>
          <w:caps/>
          <w:sz w:val="22"/>
          <w:szCs w:val="22"/>
        </w:rPr>
      </w:pPr>
      <w:r>
        <w:rPr>
          <w:rFonts w:ascii="Bookman Old Style" w:hAnsi="Bookman Old Style" w:cs="Arial"/>
          <w:sz w:val="22"/>
          <w:szCs w:val="22"/>
        </w:rPr>
        <w:br w:type="page"/>
      </w:r>
      <w:bookmarkStart w:id="0" w:name="_GoBack"/>
      <w:bookmarkEnd w:id="0"/>
      <w:r w:rsidRPr="0099415B">
        <w:rPr>
          <w:rFonts w:ascii="Bookman Old Style" w:hAnsi="Bookman Old Style" w:cs="Arial"/>
          <w:b/>
          <w:caps/>
          <w:sz w:val="22"/>
          <w:szCs w:val="22"/>
        </w:rPr>
        <w:lastRenderedPageBreak/>
        <w:t>Prime riflessioni conclusive</w:t>
      </w:r>
      <w:r>
        <w:rPr>
          <w:rFonts w:ascii="Bookman Old Style" w:hAnsi="Bookman Old Style" w:cs="Arial"/>
          <w:b/>
          <w:caps/>
          <w:sz w:val="22"/>
          <w:szCs w:val="22"/>
        </w:rPr>
        <w:t xml:space="preserve">    </w:t>
      </w:r>
      <w:r>
        <w:rPr>
          <w:rFonts w:ascii="Bookman Old Style" w:hAnsi="Bookman Old Style" w:cs="Arial"/>
          <w:b/>
          <w:caps/>
          <w:sz w:val="22"/>
          <w:szCs w:val="22"/>
        </w:rPr>
        <w:tab/>
      </w:r>
      <w:r>
        <w:rPr>
          <w:rFonts w:ascii="Bookman Old Style" w:hAnsi="Bookman Old Style" w:cs="Arial"/>
          <w:b/>
          <w:caps/>
          <w:sz w:val="22"/>
          <w:szCs w:val="22"/>
        </w:rPr>
        <w:tab/>
      </w:r>
      <w:r>
        <w:rPr>
          <w:rFonts w:ascii="Bookman Old Style" w:hAnsi="Bookman Old Style" w:cs="Arial"/>
          <w:b/>
          <w:caps/>
          <w:sz w:val="22"/>
          <w:szCs w:val="22"/>
        </w:rPr>
        <w:tab/>
      </w:r>
      <w:r>
        <w:rPr>
          <w:rFonts w:ascii="Bookman Old Style" w:hAnsi="Bookman Old Style" w:cs="Arial"/>
          <w:b/>
          <w:caps/>
          <w:sz w:val="22"/>
          <w:szCs w:val="22"/>
        </w:rPr>
        <w:tab/>
      </w:r>
    </w:p>
    <w:p w:rsidR="00F61829" w:rsidRDefault="00F61829" w:rsidP="00F36824">
      <w:pPr>
        <w:pStyle w:val="Corpotesto"/>
        <w:spacing w:after="200" w:line="360" w:lineRule="auto"/>
        <w:ind w:firstLine="708"/>
        <w:jc w:val="both"/>
        <w:rPr>
          <w:rFonts w:ascii="Bookman Old Style" w:hAnsi="Bookman Old Style"/>
        </w:rPr>
      </w:pPr>
      <w:r>
        <w:rPr>
          <w:rFonts w:ascii="Bookman Old Style" w:hAnsi="Bookman Old Style"/>
        </w:rPr>
        <w:t xml:space="preserve">Nel condividere le finalità e le sfide che la Commissione propone per sfruttare al massimo le potenzialità che il turismo costiero e marittimo offrono e contribuire così al raggiungimento degli obiettivi di crescita intelligente, sostenibile e inclusiva di Europa 2020, si precisa che ciò sarà possibile solo con il </w:t>
      </w:r>
      <w:r w:rsidRPr="000B3551">
        <w:rPr>
          <w:rFonts w:ascii="Bookman Old Style" w:hAnsi="Bookman Old Style"/>
          <w:b/>
        </w:rPr>
        <w:t>pieno coinvolgimento di tutti gli attori pubblici e privati interessati</w:t>
      </w:r>
      <w:r>
        <w:rPr>
          <w:rFonts w:ascii="Bookman Old Style" w:hAnsi="Bookman Old Style"/>
        </w:rPr>
        <w:t xml:space="preserve">. </w:t>
      </w:r>
    </w:p>
    <w:p w:rsidR="00F61829" w:rsidRDefault="00F61829" w:rsidP="000B3551">
      <w:pPr>
        <w:pStyle w:val="Corpotesto"/>
        <w:spacing w:after="200" w:line="360" w:lineRule="auto"/>
        <w:jc w:val="both"/>
        <w:rPr>
          <w:rFonts w:ascii="Bookman Old Style" w:hAnsi="Bookman Old Style"/>
        </w:rPr>
      </w:pPr>
      <w:r>
        <w:rPr>
          <w:rFonts w:ascii="Bookman Old Style" w:hAnsi="Bookman Old Style"/>
        </w:rPr>
        <w:tab/>
        <w:t xml:space="preserve">Bisognerà individuare altresì misure di </w:t>
      </w:r>
      <w:r w:rsidRPr="000B3551">
        <w:rPr>
          <w:rFonts w:ascii="Bookman Old Style" w:hAnsi="Bookman Old Style"/>
          <w:i/>
        </w:rPr>
        <w:t>networking</w:t>
      </w:r>
      <w:r>
        <w:rPr>
          <w:rFonts w:ascii="Bookman Old Style" w:hAnsi="Bookman Old Style"/>
        </w:rPr>
        <w:t xml:space="preserve"> che consentano di superare i limiti dovuti al cosiddetto “nanismo” delle imprese che operano nel turismo (il 90% ha meno di 10 dipendenti), alla stagionalità e al precariato, affinché questo settore possa rappresentare l’atteso volano per il </w:t>
      </w:r>
      <w:r w:rsidRPr="000B3551">
        <w:rPr>
          <w:rFonts w:ascii="Bookman Old Style" w:hAnsi="Bookman Old Style"/>
          <w:b/>
        </w:rPr>
        <w:t>rilancio dell’occupazione giovanile</w:t>
      </w:r>
      <w:r>
        <w:rPr>
          <w:rFonts w:ascii="Bookman Old Style" w:hAnsi="Bookman Old Style"/>
        </w:rPr>
        <w:t>, visto che il 45% degli occupati nel turismo è composto da</w:t>
      </w:r>
      <w:r w:rsidRPr="00E81221">
        <w:rPr>
          <w:rFonts w:ascii="Bookman Old Style" w:hAnsi="Bookman Old Style"/>
        </w:rPr>
        <w:t xml:space="preserve"> persone di età compresa tra i 16 e i 35 anni.</w:t>
      </w:r>
    </w:p>
    <w:p w:rsidR="00F61829" w:rsidRDefault="00F61829" w:rsidP="00B16B31">
      <w:pPr>
        <w:pStyle w:val="Corpotesto"/>
        <w:spacing w:after="200" w:line="360" w:lineRule="auto"/>
        <w:jc w:val="both"/>
        <w:rPr>
          <w:rFonts w:ascii="Bookman Old Style" w:hAnsi="Bookman Old Style"/>
        </w:rPr>
      </w:pPr>
      <w:r>
        <w:rPr>
          <w:rFonts w:ascii="Bookman Old Style" w:hAnsi="Bookman Old Style"/>
        </w:rPr>
        <w:tab/>
        <w:t xml:space="preserve">“Investire nelle persone”, questo si propone di fare l’UE ma per far ciò è indispensabile operare in maniera mirata su istruzione e formazione professionale ed anche i singoli Stati membri debbono collaborare in tal senso, promuovendo plurilinguismo e uso ottimale delle ICT. </w:t>
      </w:r>
    </w:p>
    <w:p w:rsidR="00F61829" w:rsidRDefault="00F61829" w:rsidP="00605D93">
      <w:pPr>
        <w:pStyle w:val="Corpotesto"/>
        <w:spacing w:after="200" w:line="360" w:lineRule="auto"/>
        <w:ind w:firstLine="708"/>
        <w:jc w:val="both"/>
        <w:rPr>
          <w:rFonts w:ascii="Bookman Old Style" w:hAnsi="Bookman Old Style"/>
        </w:rPr>
      </w:pPr>
      <w:r>
        <w:rPr>
          <w:rFonts w:ascii="Bookman Old Style" w:hAnsi="Bookman Old Style"/>
        </w:rPr>
        <w:t>L</w:t>
      </w:r>
      <w:r w:rsidRPr="00605D93">
        <w:rPr>
          <w:rFonts w:ascii="Bookman Old Style" w:hAnsi="Bookman Old Style"/>
        </w:rPr>
        <w:t xml:space="preserve">a sfida si gioca </w:t>
      </w:r>
      <w:r>
        <w:rPr>
          <w:rFonts w:ascii="Bookman Old Style" w:hAnsi="Bookman Old Style"/>
        </w:rPr>
        <w:t xml:space="preserve">dunque </w:t>
      </w:r>
      <w:r w:rsidRPr="00605D93">
        <w:rPr>
          <w:rFonts w:ascii="Bookman Old Style" w:hAnsi="Bookman Old Style"/>
        </w:rPr>
        <w:t xml:space="preserve">sulla capacità di </w:t>
      </w:r>
      <w:r w:rsidRPr="007843F5">
        <w:rPr>
          <w:rFonts w:ascii="Bookman Old Style" w:hAnsi="Bookman Old Style"/>
          <w:b/>
        </w:rPr>
        <w:t>coniugare innovazione tecnologica, qualificazione delle produzioni e dei servizi e competenza delle risorse umane mobilitate</w:t>
      </w:r>
      <w:r w:rsidRPr="00605D93">
        <w:rPr>
          <w:rFonts w:ascii="Bookman Old Style" w:hAnsi="Bookman Old Style"/>
        </w:rPr>
        <w:t xml:space="preserve">. </w:t>
      </w:r>
      <w:r>
        <w:rPr>
          <w:rFonts w:ascii="Bookman Old Style" w:hAnsi="Bookman Old Style"/>
        </w:rPr>
        <w:t>Ma l</w:t>
      </w:r>
      <w:r w:rsidRPr="00605D93">
        <w:rPr>
          <w:rFonts w:ascii="Bookman Old Style" w:hAnsi="Bookman Old Style"/>
        </w:rPr>
        <w:t>’innovazione non si stimola solo con la creazione di siti web, quanto piuttosto  mettendo a sistema la costellazione di microimprese che operano nei diversi sistemi locali turistici, affinch</w:t>
      </w:r>
      <w:r>
        <w:rPr>
          <w:rFonts w:ascii="Bookman Old Style" w:hAnsi="Bookman Old Style"/>
        </w:rPr>
        <w:t>é</w:t>
      </w:r>
      <w:r w:rsidRPr="00605D93">
        <w:rPr>
          <w:rFonts w:ascii="Bookman Old Style" w:hAnsi="Bookman Old Style"/>
        </w:rPr>
        <w:t xml:space="preserve"> esse si aprano ad un uso più intensivo </w:t>
      </w:r>
      <w:r>
        <w:rPr>
          <w:rFonts w:ascii="Bookman Old Style" w:hAnsi="Bookman Old Style"/>
        </w:rPr>
        <w:t>delle nuove tecnologie e delle forme di commercializzazione on line</w:t>
      </w:r>
      <w:r w:rsidRPr="00605D93">
        <w:rPr>
          <w:rFonts w:ascii="Bookman Old Style" w:hAnsi="Bookman Old Style"/>
        </w:rPr>
        <w:t xml:space="preserve">. </w:t>
      </w:r>
    </w:p>
    <w:p w:rsidR="00F61829" w:rsidRDefault="00F61829" w:rsidP="006347B5">
      <w:pPr>
        <w:pStyle w:val="Corpotesto"/>
        <w:spacing w:after="200" w:line="360" w:lineRule="auto"/>
        <w:ind w:firstLine="708"/>
        <w:jc w:val="both"/>
        <w:rPr>
          <w:rFonts w:ascii="Bookman Old Style" w:hAnsi="Bookman Old Style"/>
        </w:rPr>
      </w:pPr>
      <w:r>
        <w:rPr>
          <w:rFonts w:ascii="Bookman Old Style" w:hAnsi="Bookman Old Style"/>
        </w:rPr>
        <w:t>L</w:t>
      </w:r>
      <w:r w:rsidRPr="00605D93">
        <w:rPr>
          <w:rFonts w:ascii="Bookman Old Style" w:hAnsi="Bookman Old Style"/>
        </w:rPr>
        <w:t xml:space="preserve">a spesa pubblica investita nel turismo è </w:t>
      </w:r>
      <w:r>
        <w:rPr>
          <w:rFonts w:ascii="Bookman Old Style" w:hAnsi="Bookman Old Style"/>
        </w:rPr>
        <w:t xml:space="preserve">polverizzata e poco finalizzata: le risorse europee possono rappresentare un’opportunità imperdibile se si riuscirà ad </w:t>
      </w:r>
      <w:r w:rsidRPr="006347B5">
        <w:rPr>
          <w:rFonts w:ascii="Bookman Old Style" w:hAnsi="Bookman Old Style"/>
        </w:rPr>
        <w:t xml:space="preserve">evitare ed emendare errori del ciclo appena concluso </w:t>
      </w:r>
      <w:r>
        <w:rPr>
          <w:rFonts w:ascii="Bookman Old Style" w:hAnsi="Bookman Old Style"/>
        </w:rPr>
        <w:t>della p</w:t>
      </w:r>
      <w:r w:rsidRPr="006347B5">
        <w:rPr>
          <w:rFonts w:ascii="Bookman Old Style" w:hAnsi="Bookman Old Style"/>
        </w:rPr>
        <w:t>olitica di coesione</w:t>
      </w:r>
      <w:r>
        <w:rPr>
          <w:rFonts w:ascii="Bookman Old Style" w:hAnsi="Bookman Old Style"/>
          <w:sz w:val="24"/>
          <w:szCs w:val="24"/>
        </w:rPr>
        <w:t>.</w:t>
      </w:r>
      <w:r w:rsidRPr="00605D93">
        <w:rPr>
          <w:rFonts w:ascii="Bookman Old Style" w:hAnsi="Bookman Old Style"/>
        </w:rPr>
        <w:t xml:space="preserve"> </w:t>
      </w:r>
    </w:p>
    <w:p w:rsidR="00F61829" w:rsidRDefault="00F61829" w:rsidP="006347B5">
      <w:pPr>
        <w:pStyle w:val="Corpotesto"/>
        <w:spacing w:after="200" w:line="360" w:lineRule="auto"/>
        <w:ind w:firstLine="708"/>
        <w:jc w:val="both"/>
        <w:rPr>
          <w:rFonts w:ascii="Bookman Old Style" w:hAnsi="Bookman Old Style"/>
        </w:rPr>
      </w:pPr>
      <w:r>
        <w:rPr>
          <w:rFonts w:ascii="Bookman Old Style" w:hAnsi="Bookman Old Style"/>
        </w:rPr>
        <w:t xml:space="preserve">Grazie ai finanziamenti diretti (programmi mirati) ed indiretti (fondi strutturali) sarà possibile perseguire gli obiettivi attesi ma è necessario che la Commissione proceda in tempi rapidissimi – viste le prossime scadenze della Programmazione 2014-2020 - alla </w:t>
      </w:r>
      <w:r w:rsidRPr="006804EA">
        <w:rPr>
          <w:rFonts w:ascii="Bookman Old Style" w:hAnsi="Bookman Old Style"/>
          <w:b/>
        </w:rPr>
        <w:t>pubblicazione della prevista guida on line sulle principali fonti di finanziamento del settore turistico, il quale, in virtù della sua spiccata trasversalità non beneficia di risorse dirette</w:t>
      </w:r>
      <w:r>
        <w:rPr>
          <w:rFonts w:ascii="Bookman Old Style" w:hAnsi="Bookman Old Style"/>
        </w:rPr>
        <w:t xml:space="preserve">. </w:t>
      </w:r>
    </w:p>
    <w:p w:rsidR="00F61829" w:rsidRDefault="00F61829" w:rsidP="00913780">
      <w:pPr>
        <w:pStyle w:val="Corpotesto"/>
        <w:spacing w:after="200" w:line="360" w:lineRule="auto"/>
        <w:ind w:firstLine="708"/>
        <w:jc w:val="both"/>
        <w:rPr>
          <w:rFonts w:ascii="Bookman Old Style" w:hAnsi="Bookman Old Style"/>
        </w:rPr>
      </w:pPr>
      <w:r>
        <w:rPr>
          <w:rFonts w:ascii="Bookman Old Style" w:hAnsi="Bookman Old Style"/>
        </w:rPr>
        <w:t xml:space="preserve">Sul fronte nazionale, Governo, Regioni ed Enti locali devono sì impegnarsi per includere il turismo nei PO e POR che si andranno ad approvare ma debbono soprattutto operare per: </w:t>
      </w:r>
    </w:p>
    <w:p w:rsidR="00F61829" w:rsidRPr="007E70C7" w:rsidRDefault="00F61829" w:rsidP="00913780">
      <w:pPr>
        <w:pStyle w:val="Corpotesto"/>
        <w:numPr>
          <w:ilvl w:val="0"/>
          <w:numId w:val="1"/>
        </w:numPr>
        <w:spacing w:after="200" w:line="360" w:lineRule="auto"/>
        <w:jc w:val="both"/>
        <w:rPr>
          <w:rFonts w:ascii="Bookman Old Style" w:hAnsi="Bookman Old Style"/>
        </w:rPr>
      </w:pPr>
      <w:r>
        <w:rPr>
          <w:rFonts w:ascii="Bookman Old Style" w:hAnsi="Bookman Old Style"/>
        </w:rPr>
        <w:lastRenderedPageBreak/>
        <w:t>d</w:t>
      </w:r>
      <w:r w:rsidRPr="007E70C7">
        <w:rPr>
          <w:rFonts w:ascii="Bookman Old Style" w:hAnsi="Bookman Old Style"/>
        </w:rPr>
        <w:t xml:space="preserve">are attuazione al </w:t>
      </w:r>
      <w:r w:rsidRPr="003C2166">
        <w:rPr>
          <w:rFonts w:ascii="Bookman Old Style" w:hAnsi="Bookman Old Style"/>
          <w:b/>
        </w:rPr>
        <w:t>Piano Strategico Nazionale</w:t>
      </w:r>
      <w:r w:rsidRPr="007E70C7">
        <w:rPr>
          <w:rFonts w:ascii="Bookman Old Style" w:hAnsi="Bookman Old Style"/>
        </w:rPr>
        <w:t xml:space="preserve">, </w:t>
      </w:r>
      <w:r>
        <w:rPr>
          <w:rFonts w:ascii="Bookman Old Style" w:hAnsi="Bookman Old Style"/>
        </w:rPr>
        <w:t xml:space="preserve">che, </w:t>
      </w:r>
      <w:r w:rsidRPr="007E70C7">
        <w:rPr>
          <w:rFonts w:ascii="Bookman Old Style" w:hAnsi="Bookman Old Style"/>
        </w:rPr>
        <w:t>presentato nel gennaio 2012</w:t>
      </w:r>
      <w:r>
        <w:rPr>
          <w:rFonts w:ascii="Bookman Old Style" w:hAnsi="Bookman Old Style"/>
        </w:rPr>
        <w:t>,</w:t>
      </w:r>
      <w:r w:rsidRPr="007E70C7">
        <w:rPr>
          <w:rFonts w:ascii="Bookman Old Style" w:hAnsi="Bookman Old Style"/>
        </w:rPr>
        <w:t xml:space="preserve"> </w:t>
      </w:r>
      <w:r>
        <w:rPr>
          <w:rFonts w:ascii="Bookman Old Style" w:hAnsi="Bookman Old Style"/>
        </w:rPr>
        <w:t>é</w:t>
      </w:r>
      <w:r w:rsidRPr="007E70C7">
        <w:rPr>
          <w:rFonts w:ascii="Bookman Old Style" w:hAnsi="Bookman Old Style"/>
        </w:rPr>
        <w:t xml:space="preserve"> rimasto sostanzialmente inattuato</w:t>
      </w:r>
      <w:r>
        <w:rPr>
          <w:rFonts w:ascii="Bookman Old Style" w:hAnsi="Bookman Old Style"/>
        </w:rPr>
        <w:t>;</w:t>
      </w:r>
    </w:p>
    <w:p w:rsidR="00F61829" w:rsidRDefault="00F61829" w:rsidP="001B5042">
      <w:pPr>
        <w:pStyle w:val="Corpotesto"/>
        <w:numPr>
          <w:ilvl w:val="0"/>
          <w:numId w:val="1"/>
        </w:numPr>
        <w:spacing w:after="200" w:line="360" w:lineRule="auto"/>
        <w:jc w:val="both"/>
        <w:rPr>
          <w:rFonts w:ascii="Bookman Old Style" w:hAnsi="Bookman Old Style"/>
        </w:rPr>
      </w:pPr>
      <w:r>
        <w:rPr>
          <w:rFonts w:ascii="Bookman Old Style" w:hAnsi="Bookman Old Style"/>
        </w:rPr>
        <w:t>a legislazione vigente, i</w:t>
      </w:r>
      <w:r w:rsidRPr="007E70C7">
        <w:rPr>
          <w:rFonts w:ascii="Bookman Old Style" w:hAnsi="Bookman Old Style"/>
        </w:rPr>
        <w:t xml:space="preserve">ndividuare una </w:t>
      </w:r>
      <w:r w:rsidRPr="003C2166">
        <w:rPr>
          <w:rFonts w:ascii="Bookman Old Style" w:hAnsi="Bookman Old Style"/>
          <w:b/>
        </w:rPr>
        <w:t>sede di concertazione nuova e più efficace</w:t>
      </w:r>
      <w:r w:rsidRPr="007E70C7">
        <w:rPr>
          <w:rFonts w:ascii="Bookman Old Style" w:hAnsi="Bookman Old Style"/>
        </w:rPr>
        <w:t>, una sede di confronto a tre livelli, centrale/regionale/locale</w:t>
      </w:r>
      <w:r>
        <w:rPr>
          <w:rFonts w:ascii="Bookman Old Style" w:hAnsi="Bookman Old Style"/>
        </w:rPr>
        <w:t>,</w:t>
      </w:r>
      <w:r w:rsidRPr="007E70C7">
        <w:rPr>
          <w:rFonts w:ascii="Bookman Old Style" w:hAnsi="Bookman Old Style"/>
        </w:rPr>
        <w:t xml:space="preserve"> con il pieno coinvolgimento degli Enti locali e la partecipazione dei protagonisti</w:t>
      </w:r>
      <w:r>
        <w:rPr>
          <w:rFonts w:ascii="Bookman Old Style" w:hAnsi="Bookman Old Style"/>
        </w:rPr>
        <w:t xml:space="preserve"> pubblici e privati del settore, </w:t>
      </w:r>
      <w:r w:rsidRPr="003C2166">
        <w:rPr>
          <w:rFonts w:ascii="Bookman Old Style" w:hAnsi="Bookman Old Style"/>
          <w:b/>
        </w:rPr>
        <w:t>superando l’attuale sistema di governance bilaterale Stato/Regioni</w:t>
      </w:r>
      <w:r>
        <w:rPr>
          <w:rFonts w:ascii="Bookman Old Style" w:hAnsi="Bookman Old Style"/>
        </w:rPr>
        <w:t>;</w:t>
      </w:r>
    </w:p>
    <w:p w:rsidR="00F61829" w:rsidRDefault="00F61829" w:rsidP="001B5042">
      <w:pPr>
        <w:pStyle w:val="Corpotesto"/>
        <w:numPr>
          <w:ilvl w:val="0"/>
          <w:numId w:val="1"/>
        </w:numPr>
        <w:spacing w:after="200" w:line="360" w:lineRule="auto"/>
        <w:jc w:val="both"/>
        <w:rPr>
          <w:rFonts w:ascii="Bookman Old Style" w:hAnsi="Bookman Old Style"/>
        </w:rPr>
      </w:pPr>
      <w:r>
        <w:rPr>
          <w:rFonts w:ascii="Bookman Old Style" w:hAnsi="Bookman Old Style"/>
        </w:rPr>
        <w:t>d</w:t>
      </w:r>
      <w:r w:rsidRPr="009C2148">
        <w:rPr>
          <w:rFonts w:ascii="Bookman Old Style" w:hAnsi="Bookman Old Style"/>
        </w:rPr>
        <w:t>otare i Comuni di efficaci strumenti di programmazione</w:t>
      </w:r>
      <w:r>
        <w:rPr>
          <w:rFonts w:ascii="Bookman Old Style" w:hAnsi="Bookman Old Style"/>
        </w:rPr>
        <w:t xml:space="preserve">, a partire dai </w:t>
      </w:r>
      <w:r w:rsidRPr="003C2166">
        <w:rPr>
          <w:rFonts w:ascii="Bookman Old Style" w:hAnsi="Bookman Old Style"/>
          <w:b/>
        </w:rPr>
        <w:t>Piani di valorizzazione turistica del territorio</w:t>
      </w:r>
      <w:r w:rsidRPr="00D876BC">
        <w:rPr>
          <w:rFonts w:ascii="Bookman Old Style" w:hAnsi="Bookman Old Style"/>
        </w:rPr>
        <w:t>.</w:t>
      </w:r>
      <w:r>
        <w:rPr>
          <w:rFonts w:ascii="Bookman Old Style" w:hAnsi="Bookman Old Style"/>
        </w:rPr>
        <w:t xml:space="preserve"> </w:t>
      </w:r>
      <w:r w:rsidRPr="009C2148">
        <w:rPr>
          <w:rFonts w:ascii="Bookman Old Style" w:hAnsi="Bookman Old Style"/>
        </w:rPr>
        <w:t>Ciascun Piano dovrà includere l'analisi della domanda e offerta turistica e il Programma di Valorizzazione e Promozione Turistica dei Beni Culturali, Ambientali e Tradizionali dei Comuni, nonché il quadro dei Servizi necessari di accoglienza ricettiva e gene</w:t>
      </w:r>
      <w:r>
        <w:rPr>
          <w:rFonts w:ascii="Bookman Old Style" w:hAnsi="Bookman Old Style"/>
        </w:rPr>
        <w:t>rali, incluse le infrastrutture;</w:t>
      </w:r>
    </w:p>
    <w:p w:rsidR="00F61829" w:rsidRPr="00D876BC" w:rsidRDefault="00F61829" w:rsidP="001B5042">
      <w:pPr>
        <w:pStyle w:val="Corpotesto"/>
        <w:numPr>
          <w:ilvl w:val="0"/>
          <w:numId w:val="1"/>
        </w:numPr>
        <w:spacing w:after="200" w:line="360" w:lineRule="auto"/>
        <w:jc w:val="both"/>
        <w:rPr>
          <w:rFonts w:ascii="Bookman Old Style" w:hAnsi="Bookman Old Style"/>
        </w:rPr>
      </w:pPr>
      <w:r>
        <w:rPr>
          <w:rFonts w:ascii="Bookman Old Style" w:hAnsi="Bookman Old Style"/>
        </w:rPr>
        <w:t>r</w:t>
      </w:r>
      <w:r w:rsidRPr="00D876BC">
        <w:rPr>
          <w:rFonts w:ascii="Bookman Old Style" w:hAnsi="Bookman Old Style"/>
        </w:rPr>
        <w:t xml:space="preserve">ivedere almeno in parte la </w:t>
      </w:r>
      <w:r w:rsidRPr="003C2166">
        <w:rPr>
          <w:rFonts w:ascii="Bookman Old Style" w:hAnsi="Bookman Old Style"/>
          <w:b/>
        </w:rPr>
        <w:t>regolamentazione dell’imposta di soggiorno</w:t>
      </w:r>
      <w:r w:rsidRPr="00D876BC">
        <w:rPr>
          <w:rFonts w:ascii="Bookman Old Style" w:hAnsi="Bookman Old Style"/>
        </w:rPr>
        <w:t>, estendendo a tutti i Comuni italiani la possibilità di introdurla e legandola maggiormente alle iniziative strategiche per lo sviluppo dei territori</w:t>
      </w:r>
      <w:r w:rsidRPr="00956B26">
        <w:rPr>
          <w:rFonts w:ascii="Bookman Old Style" w:hAnsi="Bookman Old Style"/>
          <w:b/>
        </w:rPr>
        <w:t>.</w:t>
      </w:r>
    </w:p>
    <w:p w:rsidR="00F61829" w:rsidRDefault="00F61829" w:rsidP="001B5042">
      <w:pPr>
        <w:pStyle w:val="Paragrafoelenco"/>
      </w:pPr>
    </w:p>
    <w:p w:rsidR="00F61829" w:rsidRPr="001B5042" w:rsidRDefault="00F61829" w:rsidP="001B5042">
      <w:pPr>
        <w:pStyle w:val="NormaleWeb"/>
        <w:spacing w:before="0" w:beforeAutospacing="0" w:after="120" w:afterAutospacing="0" w:line="312" w:lineRule="auto"/>
        <w:rPr>
          <w:rFonts w:ascii="Bookman Old Style" w:hAnsi="Bookman Old Style" w:cs="Arial"/>
          <w:b/>
          <w:sz w:val="22"/>
          <w:szCs w:val="22"/>
        </w:rPr>
      </w:pPr>
    </w:p>
    <w:sectPr w:rsidR="00F61829" w:rsidRPr="001B5042" w:rsidSect="00262DFA">
      <w:headerReference w:type="default" r:id="rId10"/>
      <w:footerReference w:type="default" r:id="rId11"/>
      <w:pgSz w:w="11906" w:h="16838"/>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180F" w:rsidRDefault="0074180F" w:rsidP="008C6104">
      <w:r>
        <w:separator/>
      </w:r>
    </w:p>
  </w:endnote>
  <w:endnote w:type="continuationSeparator" w:id="0">
    <w:p w:rsidR="0074180F" w:rsidRDefault="0074180F" w:rsidP="008C61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1829" w:rsidRDefault="00F61829">
    <w:pPr>
      <w:pStyle w:val="Pidipagina"/>
      <w:jc w:val="center"/>
    </w:pPr>
  </w:p>
  <w:p w:rsidR="00F61829" w:rsidRDefault="00F61829">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180F" w:rsidRDefault="0074180F" w:rsidP="008C6104">
      <w:r>
        <w:separator/>
      </w:r>
    </w:p>
  </w:footnote>
  <w:footnote w:type="continuationSeparator" w:id="0">
    <w:p w:rsidR="0074180F" w:rsidRDefault="0074180F" w:rsidP="008C61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1829" w:rsidRDefault="0074180F">
    <w:pPr>
      <w:pStyle w:val="Intestazione"/>
    </w:pPr>
    <w:r>
      <w:rPr>
        <w:noProof/>
        <w:lang w:eastAsia="zh-CN"/>
      </w:rPr>
      <w:pict>
        <v:rect id="Rettangolo 4" o:spid="_x0000_s2049" style="position:absolute;margin-left:549.95pt;margin-top:0;width:45.35pt;height:25.95pt;z-index:1;visibility:visible;mso-position-horizontal-relative:page;mso-position-vertical:center;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" o:allowincell="f" stroked="f">
          <v:textbox>
            <w:txbxContent>
              <w:p w:rsidR="00F61829" w:rsidRDefault="0074180F">
                <w:pPr>
                  <w:pBdr>
                    <w:bottom w:val="single" w:sz="4" w:space="1" w:color="auto"/>
                  </w:pBdr>
                </w:pPr>
                <w:r>
                  <w:fldChar w:fldCharType="begin"/>
                </w:r>
                <w:r>
                  <w:instrText>PAGE   \* MERGEFORMAT</w:instrText>
                </w:r>
                <w:r>
                  <w:fldChar w:fldCharType="separate"/>
                </w:r>
                <w:r w:rsidR="004C1319">
                  <w:rPr>
                    <w:noProof/>
                  </w:rPr>
                  <w:t>11</w:t>
                </w:r>
                <w:r>
                  <w:rPr>
                    <w:noProof/>
                  </w:rPr>
                  <w:fldChar w:fldCharType="end"/>
                </w:r>
              </w:p>
            </w:txbxContent>
          </v:textbox>
          <w10:wrap anchorx="margin" anchory="margin"/>
        </v:rect>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204AE1"/>
    <w:multiLevelType w:val="hybridMultilevel"/>
    <w:tmpl w:val="3FD07C68"/>
    <w:lvl w:ilvl="0" w:tplc="0410000F">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
    <w:nsid w:val="59207200"/>
    <w:multiLevelType w:val="hybridMultilevel"/>
    <w:tmpl w:val="35A0874E"/>
    <w:lvl w:ilvl="0" w:tplc="EDF67E20">
      <w:numFmt w:val="bullet"/>
      <w:lvlText w:val="-"/>
      <w:lvlJc w:val="left"/>
      <w:pPr>
        <w:ind w:left="720" w:hanging="360"/>
      </w:pPr>
      <w:rPr>
        <w:rFonts w:ascii="Bookman Old Style" w:eastAsia="Times New Roman" w:hAnsi="Bookman Old Style"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TrackMoves/>
  <w:defaultTabStop w:val="708"/>
  <w:hyphenationZone w:val="283"/>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E373B"/>
    <w:rsid w:val="000511F6"/>
    <w:rsid w:val="00067240"/>
    <w:rsid w:val="0007057D"/>
    <w:rsid w:val="00084A18"/>
    <w:rsid w:val="000B3551"/>
    <w:rsid w:val="000F3E84"/>
    <w:rsid w:val="00153EB1"/>
    <w:rsid w:val="00195D2F"/>
    <w:rsid w:val="001B5042"/>
    <w:rsid w:val="001D57F4"/>
    <w:rsid w:val="00202A87"/>
    <w:rsid w:val="00210051"/>
    <w:rsid w:val="0023359B"/>
    <w:rsid w:val="00262DFA"/>
    <w:rsid w:val="002835E3"/>
    <w:rsid w:val="002E2E75"/>
    <w:rsid w:val="002E7348"/>
    <w:rsid w:val="00317931"/>
    <w:rsid w:val="0033364C"/>
    <w:rsid w:val="003A039B"/>
    <w:rsid w:val="003C1D98"/>
    <w:rsid w:val="003C2166"/>
    <w:rsid w:val="003C3A81"/>
    <w:rsid w:val="003C3C37"/>
    <w:rsid w:val="003F4D6E"/>
    <w:rsid w:val="00485193"/>
    <w:rsid w:val="004A03B2"/>
    <w:rsid w:val="004A2F22"/>
    <w:rsid w:val="004A4E36"/>
    <w:rsid w:val="004B4593"/>
    <w:rsid w:val="004C1319"/>
    <w:rsid w:val="004F61DE"/>
    <w:rsid w:val="0055130C"/>
    <w:rsid w:val="0055210B"/>
    <w:rsid w:val="00553632"/>
    <w:rsid w:val="00557BE9"/>
    <w:rsid w:val="00560998"/>
    <w:rsid w:val="0056100D"/>
    <w:rsid w:val="00605D93"/>
    <w:rsid w:val="006347B5"/>
    <w:rsid w:val="00646D46"/>
    <w:rsid w:val="006743D7"/>
    <w:rsid w:val="00675617"/>
    <w:rsid w:val="00676558"/>
    <w:rsid w:val="006804EA"/>
    <w:rsid w:val="00681E7E"/>
    <w:rsid w:val="006C63D3"/>
    <w:rsid w:val="0074180F"/>
    <w:rsid w:val="007570F1"/>
    <w:rsid w:val="00764CF6"/>
    <w:rsid w:val="00766DFD"/>
    <w:rsid w:val="007843F5"/>
    <w:rsid w:val="007E70C7"/>
    <w:rsid w:val="00800563"/>
    <w:rsid w:val="00815DF1"/>
    <w:rsid w:val="0082028C"/>
    <w:rsid w:val="0083085C"/>
    <w:rsid w:val="00883ECF"/>
    <w:rsid w:val="008C6104"/>
    <w:rsid w:val="009125A9"/>
    <w:rsid w:val="00913780"/>
    <w:rsid w:val="00956B26"/>
    <w:rsid w:val="00966A97"/>
    <w:rsid w:val="0099415B"/>
    <w:rsid w:val="009C2148"/>
    <w:rsid w:val="009E34E1"/>
    <w:rsid w:val="009E3CFA"/>
    <w:rsid w:val="00A021A8"/>
    <w:rsid w:val="00A30132"/>
    <w:rsid w:val="00A30AE6"/>
    <w:rsid w:val="00A37A3F"/>
    <w:rsid w:val="00A77485"/>
    <w:rsid w:val="00A82540"/>
    <w:rsid w:val="00B02B26"/>
    <w:rsid w:val="00B03A84"/>
    <w:rsid w:val="00B07476"/>
    <w:rsid w:val="00B16B31"/>
    <w:rsid w:val="00B20902"/>
    <w:rsid w:val="00B733AB"/>
    <w:rsid w:val="00BE14C8"/>
    <w:rsid w:val="00C00E3C"/>
    <w:rsid w:val="00C33F18"/>
    <w:rsid w:val="00C34CBC"/>
    <w:rsid w:val="00C379F2"/>
    <w:rsid w:val="00C761DE"/>
    <w:rsid w:val="00D00164"/>
    <w:rsid w:val="00D27EEF"/>
    <w:rsid w:val="00D66D8A"/>
    <w:rsid w:val="00D876BC"/>
    <w:rsid w:val="00DC3809"/>
    <w:rsid w:val="00DE373B"/>
    <w:rsid w:val="00DE627B"/>
    <w:rsid w:val="00DE761A"/>
    <w:rsid w:val="00E05AAD"/>
    <w:rsid w:val="00E06E85"/>
    <w:rsid w:val="00E110AE"/>
    <w:rsid w:val="00E236FD"/>
    <w:rsid w:val="00E81221"/>
    <w:rsid w:val="00ED317A"/>
    <w:rsid w:val="00F050A4"/>
    <w:rsid w:val="00F36824"/>
    <w:rsid w:val="00F61829"/>
    <w:rsid w:val="00F62BCE"/>
    <w:rsid w:val="00F63756"/>
    <w:rsid w:val="00F66028"/>
    <w:rsid w:val="00F705AB"/>
    <w:rsid w:val="00F76E2E"/>
    <w:rsid w:val="00FB3EA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64CF6"/>
    <w:rPr>
      <w:rFonts w:ascii="Times New Roman" w:eastAsia="Times New Roman" w:hAnsi="Times New Roman"/>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rsid w:val="00764CF6"/>
    <w:rPr>
      <w:rFonts w:ascii="Tahoma" w:hAnsi="Tahoma" w:cs="Tahoma"/>
      <w:sz w:val="16"/>
      <w:szCs w:val="16"/>
    </w:rPr>
  </w:style>
  <w:style w:type="character" w:customStyle="1" w:styleId="TestofumettoCarattere">
    <w:name w:val="Testo fumetto Carattere"/>
    <w:link w:val="Testofumetto"/>
    <w:uiPriority w:val="99"/>
    <w:semiHidden/>
    <w:locked/>
    <w:rsid w:val="00764CF6"/>
    <w:rPr>
      <w:rFonts w:ascii="Tahoma" w:hAnsi="Tahoma" w:cs="Tahoma"/>
      <w:sz w:val="16"/>
      <w:szCs w:val="16"/>
      <w:lang w:eastAsia="it-IT"/>
    </w:rPr>
  </w:style>
  <w:style w:type="paragraph" w:styleId="NormaleWeb">
    <w:name w:val="Normal (Web)"/>
    <w:basedOn w:val="Normale"/>
    <w:uiPriority w:val="99"/>
    <w:semiHidden/>
    <w:rsid w:val="008C6104"/>
    <w:pPr>
      <w:spacing w:before="100" w:beforeAutospacing="1" w:after="100" w:afterAutospacing="1"/>
      <w:jc w:val="both"/>
    </w:pPr>
  </w:style>
  <w:style w:type="paragraph" w:styleId="Testonotaapidipagina">
    <w:name w:val="footnote text"/>
    <w:basedOn w:val="Normale"/>
    <w:link w:val="TestonotaapidipaginaCarattere"/>
    <w:uiPriority w:val="99"/>
    <w:semiHidden/>
    <w:rsid w:val="008C6104"/>
    <w:rPr>
      <w:sz w:val="20"/>
      <w:szCs w:val="20"/>
    </w:rPr>
  </w:style>
  <w:style w:type="character" w:customStyle="1" w:styleId="TestonotaapidipaginaCarattere">
    <w:name w:val="Testo nota a piè di pagina Carattere"/>
    <w:link w:val="Testonotaapidipagina"/>
    <w:uiPriority w:val="99"/>
    <w:semiHidden/>
    <w:locked/>
    <w:rsid w:val="008C6104"/>
    <w:rPr>
      <w:rFonts w:ascii="Times New Roman" w:hAnsi="Times New Roman" w:cs="Times New Roman"/>
      <w:sz w:val="20"/>
      <w:szCs w:val="20"/>
      <w:lang w:eastAsia="it-IT"/>
    </w:rPr>
  </w:style>
  <w:style w:type="character" w:styleId="Rimandonotaapidipagina">
    <w:name w:val="footnote reference"/>
    <w:uiPriority w:val="99"/>
    <w:semiHidden/>
    <w:rsid w:val="008C6104"/>
    <w:rPr>
      <w:rFonts w:cs="Times New Roman"/>
      <w:vertAlign w:val="superscript"/>
    </w:rPr>
  </w:style>
  <w:style w:type="character" w:customStyle="1" w:styleId="CorpodeltestoCarattere">
    <w:name w:val="Corpo del testo Carattere"/>
    <w:uiPriority w:val="99"/>
    <w:rsid w:val="001B5042"/>
    <w:rPr>
      <w:rFonts w:ascii="Times New Roman" w:hAnsi="Times New Roman"/>
      <w:sz w:val="24"/>
    </w:rPr>
  </w:style>
  <w:style w:type="paragraph" w:styleId="Corpotesto">
    <w:name w:val="Body Text"/>
    <w:basedOn w:val="Normale"/>
    <w:link w:val="CorpotestoCarattere"/>
    <w:uiPriority w:val="99"/>
    <w:rsid w:val="001B5042"/>
    <w:pPr>
      <w:spacing w:after="120" w:line="276" w:lineRule="auto"/>
    </w:pPr>
    <w:rPr>
      <w:rFonts w:ascii="Calibri" w:eastAsia="Calibri" w:hAnsi="Calibri"/>
      <w:sz w:val="22"/>
      <w:szCs w:val="22"/>
      <w:lang w:eastAsia="en-US"/>
    </w:rPr>
  </w:style>
  <w:style w:type="character" w:customStyle="1" w:styleId="CorpotestoCarattere">
    <w:name w:val="Corpo testo Carattere"/>
    <w:link w:val="Corpotesto"/>
    <w:uiPriority w:val="99"/>
    <w:locked/>
    <w:rsid w:val="001B5042"/>
    <w:rPr>
      <w:rFonts w:ascii="Calibri" w:eastAsia="Times New Roman" w:hAnsi="Calibri" w:cs="Times New Roman"/>
    </w:rPr>
  </w:style>
  <w:style w:type="paragraph" w:styleId="Paragrafoelenco">
    <w:name w:val="List Paragraph"/>
    <w:basedOn w:val="Normale"/>
    <w:uiPriority w:val="99"/>
    <w:qFormat/>
    <w:rsid w:val="001B5042"/>
    <w:pPr>
      <w:spacing w:after="200" w:line="276" w:lineRule="auto"/>
      <w:ind w:left="720"/>
      <w:contextualSpacing/>
    </w:pPr>
    <w:rPr>
      <w:rFonts w:ascii="Calibri" w:eastAsia="Calibri" w:hAnsi="Calibri"/>
      <w:sz w:val="22"/>
      <w:szCs w:val="22"/>
      <w:lang w:eastAsia="en-US"/>
    </w:rPr>
  </w:style>
  <w:style w:type="paragraph" w:styleId="Intestazione">
    <w:name w:val="header"/>
    <w:basedOn w:val="Normale"/>
    <w:link w:val="IntestazioneCarattere"/>
    <w:uiPriority w:val="99"/>
    <w:rsid w:val="00262DFA"/>
    <w:pPr>
      <w:tabs>
        <w:tab w:val="center" w:pos="4819"/>
        <w:tab w:val="right" w:pos="9638"/>
      </w:tabs>
    </w:pPr>
  </w:style>
  <w:style w:type="character" w:customStyle="1" w:styleId="IntestazioneCarattere">
    <w:name w:val="Intestazione Carattere"/>
    <w:link w:val="Intestazione"/>
    <w:uiPriority w:val="99"/>
    <w:locked/>
    <w:rsid w:val="00262DFA"/>
    <w:rPr>
      <w:rFonts w:ascii="Times New Roman" w:hAnsi="Times New Roman" w:cs="Times New Roman"/>
      <w:sz w:val="24"/>
      <w:szCs w:val="24"/>
      <w:lang w:eastAsia="it-IT"/>
    </w:rPr>
  </w:style>
  <w:style w:type="paragraph" w:styleId="Pidipagina">
    <w:name w:val="footer"/>
    <w:basedOn w:val="Normale"/>
    <w:link w:val="PidipaginaCarattere"/>
    <w:uiPriority w:val="99"/>
    <w:rsid w:val="00262DFA"/>
    <w:pPr>
      <w:tabs>
        <w:tab w:val="center" w:pos="4819"/>
        <w:tab w:val="right" w:pos="9638"/>
      </w:tabs>
    </w:pPr>
  </w:style>
  <w:style w:type="character" w:customStyle="1" w:styleId="PidipaginaCarattere">
    <w:name w:val="Piè di pagina Carattere"/>
    <w:link w:val="Pidipagina"/>
    <w:uiPriority w:val="99"/>
    <w:locked/>
    <w:rsid w:val="00262DFA"/>
    <w:rPr>
      <w:rFonts w:ascii="Times New Roman" w:hAnsi="Times New Roman" w:cs="Times New Roman"/>
      <w:sz w:val="24"/>
      <w:szCs w:val="24"/>
      <w:lang w:eastAsia="it-IT"/>
    </w:rPr>
  </w:style>
  <w:style w:type="paragraph" w:customStyle="1" w:styleId="Body1">
    <w:name w:val="Body 1"/>
    <w:uiPriority w:val="99"/>
    <w:rsid w:val="006C63D3"/>
    <w:pPr>
      <w:suppressAutoHyphens/>
    </w:pPr>
    <w:rPr>
      <w:rFonts w:ascii="Times New Roman" w:eastAsia="Arial Unicode MS" w:hAnsi="Times New Roman"/>
      <w:color w:val="000000"/>
      <w:sz w:val="24"/>
      <w:lang w:eastAsia="ar-SA"/>
    </w:rPr>
  </w:style>
  <w:style w:type="paragraph" w:customStyle="1" w:styleId="Libroturismo">
    <w:name w:val="Libro turismo"/>
    <w:basedOn w:val="Normale"/>
    <w:uiPriority w:val="99"/>
    <w:rsid w:val="00605D93"/>
    <w:pPr>
      <w:jc w:val="both"/>
    </w:pPr>
    <w:rPr>
      <w:rFonts w:ascii="Arial Narrow" w:hAnsi="Arial Narrow"/>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519374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CE3B51-8650-40AC-B2AE-5515552D4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4738</Words>
  <Characters>27007</Characters>
  <Application>Microsoft Office Word</Application>
  <DocSecurity>0</DocSecurity>
  <Lines>225</Lines>
  <Paragraphs>63</Paragraphs>
  <ScaleCrop>false</ScaleCrop>
  <Company/>
  <LinksUpToDate>false</LinksUpToDate>
  <CharactersWithSpaces>31682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Moira Rotondo</dc:creator>
  <cp:keywords/>
  <dc:description/>
  <cp:lastModifiedBy>Moira Rotondo</cp:lastModifiedBy>
  <cp:revision>3</cp:revision>
  <cp:lastPrinted>2014-04-28T13:44:00Z</cp:lastPrinted>
  <dcterms:created xsi:type="dcterms:W3CDTF">2014-04-29T15:17:00Z</dcterms:created>
  <dcterms:modified xsi:type="dcterms:W3CDTF">2014-04-29T15:45:00Z</dcterms:modified>
</cp:coreProperties>
</file>