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FA9" w:rsidRDefault="001A2373">
      <w:pPr>
        <w:spacing w:after="120"/>
        <w:jc w:val="center"/>
      </w:pPr>
      <w:r>
        <w:rPr>
          <w:rFonts w:ascii="Book Antiqua" w:hAnsi="Book Antiqua"/>
          <w:b/>
          <w:noProof/>
          <w:lang w:eastAsia="it-IT"/>
        </w:rPr>
        <w:drawing>
          <wp:inline distT="0" distB="0" distL="0" distR="0">
            <wp:extent cx="723900" cy="1081767"/>
            <wp:effectExtent l="0" t="0" r="0" b="4445"/>
            <wp:docPr id="1026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8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FA9" w:rsidRDefault="00062FA9">
      <w:pPr>
        <w:spacing w:after="120"/>
        <w:jc w:val="center"/>
      </w:pPr>
    </w:p>
    <w:p w:rsidR="00062FA9" w:rsidRDefault="00062FA9">
      <w:pPr>
        <w:spacing w:after="120"/>
        <w:jc w:val="center"/>
      </w:pPr>
    </w:p>
    <w:p w:rsidR="00062FA9" w:rsidRDefault="001A2373">
      <w:pPr>
        <w:spacing w:after="120"/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AUDIZIONE</w:t>
      </w:r>
    </w:p>
    <w:p w:rsidR="00062FA9" w:rsidRDefault="00062FA9">
      <w:pPr>
        <w:spacing w:after="120"/>
        <w:jc w:val="center"/>
        <w:rPr>
          <w:rFonts w:ascii="Book Antiqua" w:hAnsi="Book Antiqua"/>
          <w:color w:val="000000"/>
          <w:sz w:val="28"/>
          <w:szCs w:val="28"/>
        </w:rPr>
      </w:pPr>
    </w:p>
    <w:p w:rsidR="00062FA9" w:rsidRDefault="001A2373">
      <w:pPr>
        <w:spacing w:after="120"/>
        <w:jc w:val="center"/>
        <w:rPr>
          <w:rFonts w:ascii="Book Antiqua" w:hAnsi="Book Antiqua"/>
          <w:b/>
          <w:color w:val="000000"/>
          <w:sz w:val="28"/>
          <w:szCs w:val="28"/>
        </w:rPr>
      </w:pPr>
      <w:r>
        <w:rPr>
          <w:rFonts w:ascii="Book Antiqua" w:hAnsi="Book Antiqua"/>
          <w:b/>
          <w:color w:val="000000"/>
          <w:sz w:val="28"/>
          <w:szCs w:val="28"/>
        </w:rPr>
        <w:t>Senato della Repubblica</w:t>
      </w:r>
    </w:p>
    <w:p w:rsidR="00062FA9" w:rsidRDefault="001A2373">
      <w:pPr>
        <w:spacing w:after="120"/>
        <w:jc w:val="center"/>
        <w:rPr>
          <w:rFonts w:ascii="Book Antiqua" w:hAnsi="Book Antiqua"/>
          <w:i/>
          <w:color w:val="000000"/>
          <w:sz w:val="28"/>
          <w:szCs w:val="28"/>
        </w:rPr>
      </w:pPr>
      <w:r>
        <w:rPr>
          <w:rFonts w:ascii="Book Antiqua" w:hAnsi="Book Antiqua"/>
          <w:i/>
          <w:color w:val="000000"/>
          <w:sz w:val="28"/>
          <w:szCs w:val="28"/>
        </w:rPr>
        <w:t>Commissione Finanze e tesoro</w:t>
      </w: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color w:val="000000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color w:val="000000"/>
          <w:sz w:val="28"/>
          <w:szCs w:val="28"/>
        </w:rPr>
      </w:pPr>
    </w:p>
    <w:p w:rsidR="00062FA9" w:rsidRDefault="001A2373">
      <w:pPr>
        <w:spacing w:after="120"/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color w:val="000000"/>
          <w:sz w:val="28"/>
          <w:szCs w:val="28"/>
        </w:rPr>
        <w:t>Disegno di legge n. S2263</w:t>
      </w:r>
    </w:p>
    <w:p w:rsidR="00062FA9" w:rsidRDefault="001A2373">
      <w:pPr>
        <w:spacing w:after="120"/>
        <w:jc w:val="center"/>
        <w:rPr>
          <w:rFonts w:ascii="Book Antiqua" w:hAnsi="Book Antiqua"/>
          <w:color w:val="000000"/>
          <w:sz w:val="28"/>
          <w:szCs w:val="28"/>
        </w:rPr>
      </w:pPr>
      <w:r>
        <w:rPr>
          <w:rFonts w:ascii="Book Antiqua" w:hAnsi="Book Antiqua"/>
          <w:i/>
          <w:color w:val="000000"/>
          <w:sz w:val="28"/>
          <w:szCs w:val="28"/>
        </w:rPr>
        <w:t>Misure per il recupero dei crediti insoluti nella pubblica amministrazione</w:t>
      </w: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062FA9">
      <w:pPr>
        <w:spacing w:after="120"/>
        <w:jc w:val="center"/>
        <w:rPr>
          <w:rFonts w:ascii="Book Antiqua" w:hAnsi="Book Antiqua"/>
          <w:sz w:val="28"/>
          <w:szCs w:val="28"/>
        </w:rPr>
      </w:pPr>
    </w:p>
    <w:p w:rsidR="00062FA9" w:rsidRDefault="001A2373">
      <w:pPr>
        <w:spacing w:after="120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Roma, 20 settembre 2016</w:t>
      </w:r>
    </w:p>
    <w:p w:rsidR="00062FA9" w:rsidRDefault="001A2373">
      <w:pPr>
        <w:spacing w:after="12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br w:type="page"/>
      </w:r>
    </w:p>
    <w:p w:rsidR="00062FA9" w:rsidRDefault="001A2373">
      <w:pPr>
        <w:pStyle w:val="Titolosommario"/>
        <w:spacing w:before="0" w:after="120"/>
      </w:pPr>
      <w:r>
        <w:lastRenderedPageBreak/>
        <w:t>Sommario</w:t>
      </w:r>
    </w:p>
    <w:p w:rsidR="00062FA9" w:rsidRDefault="001A2373">
      <w:pPr>
        <w:pStyle w:val="Sommario1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62134426" w:history="1">
        <w:r>
          <w:rPr>
            <w:rStyle w:val="Collegamentoipertestuale"/>
            <w:rFonts w:ascii="Book Antiqua" w:hAnsi="Book Antiqua"/>
            <w:noProof/>
          </w:rPr>
          <w:t>Premessa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_Toc462134426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2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1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27" w:history="1">
        <w:r>
          <w:rPr>
            <w:rStyle w:val="Collegamentoipertestuale"/>
            <w:rFonts w:ascii="Book Antiqua" w:hAnsi="Book Antiqua"/>
            <w:noProof/>
          </w:rPr>
          <w:t>Il provvedimento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_Toc462134427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3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1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28" w:history="1">
        <w:r>
          <w:rPr>
            <w:rStyle w:val="Collegamentoipertestuale"/>
            <w:rFonts w:ascii="Book Antiqua" w:hAnsi="Book Antiqua"/>
            <w:noProof/>
          </w:rPr>
          <w:t>Gli aspetti critici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_Toc462134428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3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2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29" w:history="1">
        <w:r>
          <w:rPr>
            <w:rStyle w:val="Collegamentoipertestuale"/>
            <w:rFonts w:ascii="Book Antiqua" w:hAnsi="Book Antiqua"/>
            <w:noProof/>
          </w:rPr>
          <w:t>Attribuzione impropria di funzioni ai soggetti affidatari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_Toc462134429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3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2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30" w:history="1">
        <w:r>
          <w:rPr>
            <w:rStyle w:val="Collegamentoipertestuale"/>
            <w:rFonts w:ascii="Book Antiqua" w:hAnsi="Book Antiqua"/>
            <w:noProof/>
          </w:rPr>
          <w:t>La determinazione dei costi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_Toc462134430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3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2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31" w:history="1">
        <w:r>
          <w:rPr>
            <w:rStyle w:val="Collegamentoipertestuale"/>
            <w:rFonts w:ascii="Book Antiqua" w:hAnsi="Book Antiqua"/>
            <w:noProof/>
          </w:rPr>
          <w:t>La remunerazione del servizio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_Toc462134431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4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2"/>
        <w:tabs>
          <w:tab w:val="right" w:leader="dot" w:pos="9628"/>
        </w:tabs>
        <w:rPr>
          <w:rFonts w:ascii="Book Antiqua" w:eastAsiaTheme="minorEastAsia" w:hAnsi="Book Antiqua" w:cstheme="minorBidi"/>
          <w:noProof/>
          <w:lang w:eastAsia="it-IT"/>
        </w:rPr>
      </w:pPr>
      <w:hyperlink w:anchor="_Toc462134432" w:history="1">
        <w:r>
          <w:rPr>
            <w:rStyle w:val="Collegamentoipertestuale"/>
            <w:rFonts w:ascii="Book Antiqua" w:hAnsi="Book Antiqua"/>
            <w:noProof/>
          </w:rPr>
          <w:t>Monitoraggio e controllo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_Toc462134432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4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pStyle w:val="Sommario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lang w:eastAsia="it-IT"/>
        </w:rPr>
      </w:pPr>
      <w:hyperlink w:anchor="_Toc462134433" w:history="1">
        <w:r>
          <w:rPr>
            <w:rStyle w:val="Collegamentoipertestuale"/>
            <w:rFonts w:ascii="Book Antiqua" w:hAnsi="Book Antiqua"/>
            <w:noProof/>
          </w:rPr>
          <w:t>Conc</w:t>
        </w:r>
        <w:r>
          <w:rPr>
            <w:rStyle w:val="Collegamentoipertestuale"/>
            <w:rFonts w:ascii="Book Antiqua" w:hAnsi="Book Antiqua"/>
            <w:noProof/>
          </w:rPr>
          <w:t>lusione</w:t>
        </w:r>
        <w:r>
          <w:rPr>
            <w:rFonts w:ascii="Book Antiqua" w:hAnsi="Book Antiqua"/>
            <w:noProof/>
            <w:webHidden/>
          </w:rPr>
          <w:tab/>
        </w:r>
        <w:r>
          <w:rPr>
            <w:rFonts w:ascii="Book Antiqua" w:hAnsi="Book Antiqua"/>
            <w:noProof/>
            <w:webHidden/>
          </w:rPr>
          <w:fldChar w:fldCharType="begin"/>
        </w:r>
        <w:r>
          <w:rPr>
            <w:rFonts w:ascii="Book Antiqua" w:hAnsi="Book Antiqua"/>
            <w:noProof/>
            <w:webHidden/>
          </w:rPr>
          <w:instrText xml:space="preserve"> PAGEREF _Toc462134433 \h </w:instrText>
        </w:r>
        <w:r>
          <w:rPr>
            <w:rFonts w:ascii="Book Antiqua" w:hAnsi="Book Antiqua"/>
            <w:noProof/>
            <w:webHidden/>
          </w:rPr>
        </w:r>
        <w:r>
          <w:rPr>
            <w:rFonts w:ascii="Book Antiqua" w:hAnsi="Book Antiqua"/>
            <w:noProof/>
            <w:webHidden/>
          </w:rPr>
          <w:fldChar w:fldCharType="separate"/>
        </w:r>
        <w:r>
          <w:rPr>
            <w:rFonts w:ascii="Book Antiqua" w:hAnsi="Book Antiqua"/>
            <w:noProof/>
            <w:webHidden/>
          </w:rPr>
          <w:t>4</w:t>
        </w:r>
        <w:r>
          <w:rPr>
            <w:rFonts w:ascii="Book Antiqua" w:hAnsi="Book Antiqua"/>
            <w:noProof/>
            <w:webHidden/>
          </w:rPr>
          <w:fldChar w:fldCharType="end"/>
        </w:r>
      </w:hyperlink>
    </w:p>
    <w:p w:rsidR="00062FA9" w:rsidRDefault="001A2373">
      <w:pPr>
        <w:spacing w:after="120"/>
        <w:rPr>
          <w:rFonts w:ascii="Book Antiqua" w:hAnsi="Book Antiqua"/>
        </w:rPr>
      </w:pPr>
      <w:r>
        <w:rPr>
          <w:b/>
          <w:bCs/>
        </w:rPr>
        <w:fldChar w:fldCharType="end"/>
      </w:r>
    </w:p>
    <w:p w:rsidR="00062FA9" w:rsidRDefault="001A2373">
      <w:pPr>
        <w:pStyle w:val="Titolo1"/>
        <w:spacing w:before="0" w:after="120"/>
        <w:rPr>
          <w:rFonts w:ascii="Book Antiqua" w:hAnsi="Book Antiqua"/>
          <w:sz w:val="22"/>
          <w:szCs w:val="22"/>
        </w:rPr>
      </w:pPr>
      <w:bookmarkStart w:id="0" w:name="_Toc462134426"/>
      <w:r>
        <w:rPr>
          <w:rFonts w:ascii="Book Antiqua" w:hAnsi="Book Antiqua"/>
          <w:sz w:val="22"/>
          <w:szCs w:val="22"/>
        </w:rPr>
        <w:t>Premessa</w:t>
      </w:r>
      <w:bookmarkEnd w:id="0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Occorre preliminarmente ricordare che L’ANCI da tempo chiede che l’assetto della </w:t>
      </w:r>
      <w:r>
        <w:rPr>
          <w:rFonts w:ascii="Book Antiqua" w:hAnsi="Book Antiqua"/>
          <w:b/>
        </w:rPr>
        <w:t>riscossione delle entrate locali</w:t>
      </w:r>
      <w:r>
        <w:rPr>
          <w:rFonts w:ascii="Book Antiqua" w:hAnsi="Book Antiqua"/>
        </w:rPr>
        <w:t xml:space="preserve"> sia oggetto di una generale riorganizzazione, in un’ottica di recupero di autonomia gestionale, di semplificazione delle procedure, di equiparazione degli strumenti e di tutti i soggetti coinvolti in quanto preposti istituzionalmente o abilitati ad operar</w:t>
      </w:r>
      <w:r>
        <w:rPr>
          <w:rFonts w:ascii="Book Antiqua" w:hAnsi="Book Antiqua"/>
        </w:rPr>
        <w:t xml:space="preserve">e nel settore, nonché di rafforzamento del rapporto con i contribuenti e di conseguente stimolo alla </w:t>
      </w:r>
      <w:r>
        <w:rPr>
          <w:rFonts w:ascii="Book Antiqua" w:hAnsi="Book Antiqua"/>
          <w:i/>
          <w:iCs/>
        </w:rPr>
        <w:t xml:space="preserve">compliance </w:t>
      </w:r>
      <w:r>
        <w:rPr>
          <w:rFonts w:ascii="Book Antiqua" w:hAnsi="Book Antiqua"/>
        </w:rPr>
        <w:t>fiscale</w:t>
      </w:r>
      <w:r>
        <w:rPr>
          <w:rFonts w:ascii="Book Antiqua" w:hAnsi="Book Antiqua"/>
          <w:i/>
          <w:iCs/>
        </w:rPr>
        <w:t>.</w:t>
      </w:r>
      <w:r>
        <w:rPr>
          <w:rFonts w:ascii="Book Antiqua" w:hAnsi="Book Antiqua"/>
        </w:rPr>
        <w:t xml:space="preserve"> Tali obiettivi erano peraltro ben rappresentati nella Delega fiscale (L. 11 marzo 2014, n. 23), purtroppo non esercitata per la parte r</w:t>
      </w:r>
      <w:r>
        <w:rPr>
          <w:rFonts w:ascii="Book Antiqua" w:hAnsi="Book Antiqua"/>
        </w:rPr>
        <w:t>elativa alla la riscossione locale.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Il </w:t>
      </w:r>
      <w:r>
        <w:rPr>
          <w:rFonts w:ascii="Book Antiqua" w:hAnsi="Book Antiqua"/>
          <w:b/>
        </w:rPr>
        <w:t>sistema di alimentazione finanziaria</w:t>
      </w:r>
      <w:r>
        <w:rPr>
          <w:rFonts w:ascii="Book Antiqua" w:hAnsi="Book Antiqua"/>
        </w:rPr>
        <w:t xml:space="preserve"> delle autonomie locali ha visto negli ultimi anni la progressiva e rapida contrazione dei trasferimenti dallo Stato, sostituiti da quote di gettito fiscale, che rappresentano ormai</w:t>
      </w:r>
      <w:r>
        <w:rPr>
          <w:rFonts w:ascii="Book Antiqua" w:hAnsi="Book Antiqua"/>
        </w:rPr>
        <w:t xml:space="preserve"> il perimetro delle risorse effettivamente disponibili per gli enti locali. Da tempo ormai i Comuni sono chiamati a “fare da sé”. Tralasciando in questa sede ogni valutazione sulla necessità di porre mano alla riorganizzazione della fiscalità locale, un ca</w:t>
      </w:r>
      <w:r>
        <w:rPr>
          <w:rFonts w:ascii="Book Antiqua" w:hAnsi="Book Antiqua"/>
        </w:rPr>
        <w:t>ntiere sempre aperto, si può ormai affermare che la capacità di riscuotere le proprie entrate, tributarie e patrimoniali, costituisce oggi più che in passato elemento decisivo per il conseguimento di stabili equilibri finanziari.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E’ inoltre da considerare </w:t>
      </w:r>
      <w:r>
        <w:rPr>
          <w:rFonts w:ascii="Book Antiqua" w:hAnsi="Book Antiqua"/>
        </w:rPr>
        <w:t xml:space="preserve">in tutta la sua importanza la portata storica della </w:t>
      </w:r>
      <w:r>
        <w:rPr>
          <w:rFonts w:ascii="Book Antiqua" w:hAnsi="Book Antiqua"/>
          <w:b/>
        </w:rPr>
        <w:t>riforma contabile</w:t>
      </w:r>
      <w:r>
        <w:rPr>
          <w:rFonts w:ascii="Book Antiqua" w:hAnsi="Book Antiqua"/>
        </w:rPr>
        <w:t>, l'armonizzazione dei bilanci pubblici e, in particolare, di alcune novità da questa introdotte come il Fondo crediti di dubbia esigibilità (FCDE). L’accantonamento al FCDE, che impedisc</w:t>
      </w:r>
      <w:r>
        <w:rPr>
          <w:rFonts w:ascii="Book Antiqua" w:hAnsi="Book Antiqua"/>
        </w:rPr>
        <w:t xml:space="preserve">e di utilizzare le entrate di dubbia e difficile esazione </w:t>
      </w:r>
      <w:r>
        <w:rPr>
          <w:rFonts w:ascii="Book Antiqua" w:hAnsi="Book Antiqua"/>
        </w:rPr>
        <w:t>a copertura di spese esigibili nell’esercizio in corso, ha conferito all’indicatore della “</w:t>
      </w:r>
      <w:r>
        <w:rPr>
          <w:rFonts w:ascii="Book Antiqua" w:hAnsi="Book Antiqua"/>
          <w:b/>
        </w:rPr>
        <w:t>capacità di riscossione</w:t>
      </w:r>
      <w:r>
        <w:rPr>
          <w:rFonts w:ascii="Book Antiqua" w:hAnsi="Book Antiqua"/>
        </w:rPr>
        <w:t>” un nuovo ruolo di determinante cruciale per gli equi</w:t>
      </w:r>
      <w:r>
        <w:rPr>
          <w:rFonts w:ascii="Book Antiqua" w:hAnsi="Book Antiqua"/>
        </w:rPr>
        <w:t>libri di bilancio che è necessario tenere sotto osservazione per non compromettere la capacità di spesa delle amministrazioni.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Per queste ragioni le Amministrazioni locali devono essere poste in condizione di operare in un contesto di regole chiare e certe</w:t>
      </w:r>
      <w:r>
        <w:rPr>
          <w:rFonts w:ascii="Book Antiqua" w:hAnsi="Book Antiqua"/>
        </w:rPr>
        <w:t xml:space="preserve">, che restituiscano al sistema della riscossione i necessari requisiti di organicità e razionalità, tenendo conto delle </w:t>
      </w:r>
      <w:r>
        <w:rPr>
          <w:rFonts w:ascii="Book Antiqua" w:hAnsi="Book Antiqua"/>
          <w:b/>
        </w:rPr>
        <w:t>peculiarità della riscossione locale</w:t>
      </w:r>
      <w:r>
        <w:rPr>
          <w:rFonts w:ascii="Book Antiqua" w:hAnsi="Book Antiqua"/>
        </w:rPr>
        <w:t>, caratterizzata, tra l’altro, da elevata frammentazione e da importanti quote di crediti di modesta</w:t>
      </w:r>
      <w:r>
        <w:rPr>
          <w:rFonts w:ascii="Book Antiqua" w:hAnsi="Book Antiqua"/>
        </w:rPr>
        <w:t xml:space="preserve"> entità.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L’ANCI, pertanto, auspicando una ripresa del confronto sul tema, sollecita </w:t>
      </w:r>
      <w:r>
        <w:rPr>
          <w:rFonts w:ascii="Book Antiqua" w:hAnsi="Book Antiqua"/>
        </w:rPr>
        <w:t xml:space="preserve">un intervento da parte del Parlamento e del Governo, finalizzato ad apportare i necessari correttivi ad una disciplina </w:t>
      </w:r>
      <w:r>
        <w:rPr>
          <w:rFonts w:ascii="Book Antiqua" w:hAnsi="Book Antiqua"/>
        </w:rPr>
        <w:lastRenderedPageBreak/>
        <w:t>ormai obsoleta e non più adeguata alle esigenze attu</w:t>
      </w:r>
      <w:r>
        <w:rPr>
          <w:rFonts w:ascii="Book Antiqua" w:hAnsi="Book Antiqua"/>
        </w:rPr>
        <w:t xml:space="preserve">ali. In tale ottica, le decisioni sul futuro di Equitalia e sul sistema di </w:t>
      </w:r>
      <w:r>
        <w:rPr>
          <w:rFonts w:ascii="Book Antiqua" w:hAnsi="Book Antiqua"/>
          <w:i/>
        </w:rPr>
        <w:t>governace</w:t>
      </w:r>
      <w:r>
        <w:rPr>
          <w:rFonts w:ascii="Book Antiqua" w:hAnsi="Book Antiqua"/>
        </w:rPr>
        <w:t xml:space="preserve"> non devono ostacolare la ricerca di innovazioni nella disciplina di settore che, già a partire dal 2017, potrebbero produrre importanti effetti positivi.</w:t>
      </w:r>
    </w:p>
    <w:p w:rsidR="00062FA9" w:rsidRDefault="00062FA9">
      <w:pPr>
        <w:pStyle w:val="Titolo1"/>
        <w:spacing w:before="0" w:after="120"/>
        <w:rPr>
          <w:rFonts w:ascii="Book Antiqua" w:hAnsi="Book Antiqua"/>
          <w:sz w:val="22"/>
          <w:szCs w:val="22"/>
        </w:rPr>
      </w:pPr>
    </w:p>
    <w:p w:rsidR="00062FA9" w:rsidRDefault="001A2373">
      <w:pPr>
        <w:pStyle w:val="Titolo1"/>
        <w:spacing w:before="0" w:after="120"/>
        <w:rPr>
          <w:rFonts w:ascii="Book Antiqua" w:hAnsi="Book Antiqua"/>
          <w:sz w:val="22"/>
          <w:szCs w:val="22"/>
        </w:rPr>
      </w:pPr>
      <w:bookmarkStart w:id="1" w:name="_Toc462134427"/>
      <w:r>
        <w:rPr>
          <w:rFonts w:ascii="Book Antiqua" w:hAnsi="Book Antiqua"/>
          <w:sz w:val="22"/>
          <w:szCs w:val="22"/>
        </w:rPr>
        <w:t>Il provvedimento</w:t>
      </w:r>
      <w:bookmarkEnd w:id="1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Il provvedimento in esame mira a disciplinare per la prima volta la materia del recupero stragiudiziale dei crediti (tributari e patrimoniali), sottoponendola a regole pubblicistiche e </w:t>
      </w:r>
      <w:r w:rsidR="00023941">
        <w:rPr>
          <w:rFonts w:ascii="Book Antiqua" w:hAnsi="Book Antiqua"/>
        </w:rPr>
        <w:t>sottraendola a orientamenti giurisdizionali resi mutevoli dalla inconsistenza del quadro normativo</w:t>
      </w:r>
      <w:r>
        <w:rPr>
          <w:rFonts w:ascii="Book Antiqua" w:hAnsi="Book Antiqua"/>
        </w:rPr>
        <w:t xml:space="preserve">. 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Si tratta peraltro di un segmento deci</w:t>
      </w:r>
      <w:r>
        <w:rPr>
          <w:rFonts w:ascii="Book Antiqua" w:hAnsi="Book Antiqua"/>
        </w:rPr>
        <w:t xml:space="preserve">sivo nel processo di riscossione, ovvero la </w:t>
      </w:r>
      <w:r>
        <w:rPr>
          <w:rFonts w:ascii="Book Antiqua" w:hAnsi="Book Antiqua"/>
          <w:b/>
        </w:rPr>
        <w:t>fase pre-coattiva</w:t>
      </w:r>
      <w:r>
        <w:rPr>
          <w:rFonts w:ascii="Book Antiqua" w:hAnsi="Book Antiqua"/>
        </w:rPr>
        <w:t xml:space="preserve">. Il potenziamento del recupero stragiudiziale dei crediti introduce un elemento di flessibilità, ancor più utile a stimolare la </w:t>
      </w:r>
      <w:r>
        <w:rPr>
          <w:rFonts w:ascii="Book Antiqua" w:hAnsi="Book Antiqua"/>
          <w:i/>
        </w:rPr>
        <w:t>compli</w:t>
      </w:r>
      <w:r>
        <w:rPr>
          <w:rFonts w:ascii="Book Antiqua" w:hAnsi="Book Antiqua"/>
          <w:i/>
        </w:rPr>
        <w:t>a</w:t>
      </w:r>
      <w:r w:rsidR="00023941">
        <w:rPr>
          <w:rFonts w:ascii="Book Antiqua" w:hAnsi="Book Antiqua"/>
          <w:i/>
        </w:rPr>
        <w:t>n</w:t>
      </w:r>
      <w:r>
        <w:rPr>
          <w:rFonts w:ascii="Book Antiqua" w:hAnsi="Book Antiqua"/>
          <w:i/>
        </w:rPr>
        <w:t>ce fiscale</w:t>
      </w:r>
      <w:r w:rsidR="00023941">
        <w:rPr>
          <w:rFonts w:ascii="Book Antiqua" w:hAnsi="Book Antiqua"/>
        </w:rPr>
        <w:t>, anche alla luce degli effetti della crisi economica sulle capacità di pagamento</w:t>
      </w:r>
      <w:r>
        <w:rPr>
          <w:rFonts w:ascii="Book Antiqua" w:hAnsi="Book Antiqua"/>
        </w:rPr>
        <w:t xml:space="preserve">. La risoluzione stragiudiziale delle controversie, inoltre, in quanto </w:t>
      </w:r>
      <w:r>
        <w:rPr>
          <w:rFonts w:ascii="Book Antiqua" w:hAnsi="Book Antiqua"/>
          <w:i/>
        </w:rPr>
        <w:t>strumento di deflazione del contenzioso</w:t>
      </w:r>
      <w:r>
        <w:rPr>
          <w:rFonts w:ascii="Book Antiqua" w:hAnsi="Book Antiqua"/>
        </w:rPr>
        <w:t>, costituisce un fattore di semplificazione e di economicità dell’azione amministrativa.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Va inoltre valutato pos</w:t>
      </w:r>
      <w:r>
        <w:rPr>
          <w:rFonts w:ascii="Book Antiqua" w:hAnsi="Book Antiqua"/>
        </w:rPr>
        <w:t xml:space="preserve">itivamente il dispositivo con cui si rende </w:t>
      </w:r>
      <w:r>
        <w:rPr>
          <w:rFonts w:ascii="Book Antiqua" w:hAnsi="Book Antiqua"/>
          <w:b/>
        </w:rPr>
        <w:t xml:space="preserve">indisponibile il pubblico denaro </w:t>
      </w:r>
      <w:r>
        <w:rPr>
          <w:rFonts w:ascii="Book Antiqua" w:hAnsi="Book Antiqua"/>
        </w:rPr>
        <w:t xml:space="preserve">ai soggetti affidatari delle attività di recupero crediti. </w:t>
      </w:r>
      <w:r>
        <w:rPr>
          <w:rFonts w:ascii="Book Antiqua" w:hAnsi="Book Antiqua"/>
        </w:rPr>
        <w:t xml:space="preserve">L’ANCI, infatti, ribadisce sin d’ora che </w:t>
      </w:r>
      <w:r>
        <w:rPr>
          <w:rFonts w:ascii="Book Antiqua" w:hAnsi="Book Antiqua"/>
          <w:b/>
        </w:rPr>
        <w:t>l’estensione di tale principio anche alle attività di accertamento e riscossion</w:t>
      </w:r>
      <w:r>
        <w:rPr>
          <w:rFonts w:ascii="Book Antiqua" w:hAnsi="Book Antiqua"/>
          <w:b/>
        </w:rPr>
        <w:t xml:space="preserve">e </w:t>
      </w:r>
      <w:r w:rsidR="00023941">
        <w:rPr>
          <w:rFonts w:ascii="Book Antiqua" w:hAnsi="Book Antiqua"/>
          <w:b/>
        </w:rPr>
        <w:t xml:space="preserve">condotte da aziende private abilitate </w:t>
      </w:r>
      <w:r>
        <w:rPr>
          <w:rFonts w:ascii="Book Antiqua" w:hAnsi="Book Antiqua"/>
          <w:b/>
        </w:rPr>
        <w:t xml:space="preserve">costituisce un principio cardine di qualsiasi ipotesi di riforma della riscossione, </w:t>
      </w:r>
      <w:r w:rsidRPr="00F13FE8">
        <w:rPr>
          <w:rFonts w:ascii="Book Antiqua" w:hAnsi="Book Antiqua"/>
        </w:rPr>
        <w:t xml:space="preserve">in grado di per sé di restituire </w:t>
      </w:r>
      <w:r w:rsidRPr="00F13FE8">
        <w:rPr>
          <w:rFonts w:ascii="Book Antiqua" w:hAnsi="Book Antiqua"/>
        </w:rPr>
        <w:t>trasparenza al</w:t>
      </w:r>
      <w:r w:rsidR="00023941">
        <w:rPr>
          <w:rFonts w:ascii="Book Antiqua" w:hAnsi="Book Antiqua"/>
        </w:rPr>
        <w:t>l’intero sistema</w:t>
      </w:r>
      <w:r w:rsidRPr="00F13FE8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La piena, diretta e tempestiva disponibilità delle somme riscosse assicura certezza finanziaria agli</w:t>
      </w:r>
      <w:r>
        <w:rPr>
          <w:rFonts w:ascii="Book Antiqua" w:hAnsi="Book Antiqua"/>
        </w:rPr>
        <w:t xml:space="preserve"> enti e consente di sterilizzare </w:t>
      </w:r>
      <w:r>
        <w:rPr>
          <w:rFonts w:ascii="Book Antiqua" w:hAnsi="Book Antiqua"/>
          <w:i/>
        </w:rPr>
        <w:t>ex ante</w:t>
      </w:r>
      <w:r>
        <w:rPr>
          <w:rFonts w:ascii="Book Antiqua" w:hAnsi="Book Antiqua"/>
        </w:rPr>
        <w:t xml:space="preserve"> il ripetersi di episodi di malversazione che hanno funestato la gestione del servizio negli ultimi anni. </w:t>
      </w:r>
    </w:p>
    <w:p w:rsidR="00062FA9" w:rsidRDefault="00062FA9">
      <w:pPr>
        <w:pStyle w:val="Titolo1"/>
      </w:pPr>
    </w:p>
    <w:p w:rsidR="00062FA9" w:rsidRDefault="001A2373">
      <w:pPr>
        <w:pStyle w:val="Titolo1"/>
      </w:pPr>
      <w:bookmarkStart w:id="2" w:name="_Toc462134428"/>
      <w:r>
        <w:t>Gli aspetti critici</w:t>
      </w:r>
      <w:bookmarkEnd w:id="2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E’ pertanto benvenuto il tentativo di disciplinare, in armonia con le previsioni contenu</w:t>
      </w:r>
      <w:r>
        <w:rPr>
          <w:rFonts w:ascii="Book Antiqua" w:hAnsi="Book Antiqua"/>
        </w:rPr>
        <w:t xml:space="preserve">te nella delega fiscale, un aspetto non marginale dell’attività di riscossione. Tuttavia, l’attuale versione del testo presenta </w:t>
      </w:r>
      <w:r>
        <w:rPr>
          <w:rFonts w:ascii="Book Antiqua" w:hAnsi="Book Antiqua"/>
          <w:b/>
        </w:rPr>
        <w:t>alcuni aspetti di critici</w:t>
      </w:r>
      <w:r w:rsidR="00023941">
        <w:rPr>
          <w:rFonts w:ascii="Book Antiqua" w:hAnsi="Book Antiqua"/>
          <w:b/>
        </w:rPr>
        <w:t>tà</w:t>
      </w:r>
      <w:r>
        <w:rPr>
          <w:rFonts w:ascii="Book Antiqua" w:hAnsi="Book Antiqua"/>
        </w:rPr>
        <w:t xml:space="preserve"> su cui si richiama l’attenzione e di cui si auspica una soluzione</w:t>
      </w:r>
      <w:r>
        <w:rPr>
          <w:rFonts w:ascii="Book Antiqua" w:hAnsi="Book Antiqua"/>
        </w:rPr>
        <w:t xml:space="preserve">. </w:t>
      </w:r>
    </w:p>
    <w:p w:rsidR="00062FA9" w:rsidRDefault="001A2373">
      <w:pPr>
        <w:pStyle w:val="Titolo2"/>
      </w:pPr>
      <w:bookmarkStart w:id="3" w:name="_Toc462134429"/>
      <w:r>
        <w:t>Attribuz</w:t>
      </w:r>
      <w:r>
        <w:t>ione impropria di funzioni ai soggetti affidatari</w:t>
      </w:r>
      <w:bookmarkEnd w:id="3"/>
    </w:p>
    <w:p w:rsidR="00062FA9" w:rsidRDefault="001A2373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Va prioritariamente segnalata l’anomalia contenuta nel comma 3. Il testo sembra infatti </w:t>
      </w:r>
      <w:r w:rsidR="00023941">
        <w:rPr>
          <w:rFonts w:ascii="Book Antiqua" w:hAnsi="Book Antiqua"/>
        </w:rPr>
        <w:t xml:space="preserve">attribuire </w:t>
      </w:r>
      <w:r>
        <w:rPr>
          <w:rFonts w:ascii="Book Antiqua" w:hAnsi="Book Antiqua"/>
        </w:rPr>
        <w:t>allo stesso soggetto affidatario compiti di definizione di gravami sui contribuenti che nel nostro ordinament</w:t>
      </w:r>
      <w:r>
        <w:rPr>
          <w:rFonts w:ascii="Book Antiqua" w:hAnsi="Book Antiqua"/>
        </w:rPr>
        <w:t xml:space="preserve">o sono tipici dell'amministrazione pubblica. Ai soggetti affidatari </w:t>
      </w:r>
      <w:r w:rsidR="00023941">
        <w:rPr>
          <w:rFonts w:ascii="Book Antiqua" w:hAnsi="Book Antiqua"/>
        </w:rPr>
        <w:t>del recupero crediti</w:t>
      </w:r>
      <w:r>
        <w:rPr>
          <w:rFonts w:ascii="Book Antiqua" w:hAnsi="Book Antiqua"/>
        </w:rPr>
        <w:t xml:space="preserve">, anche in base a quanto disposto dal comma 2, lettera a) del </w:t>
      </w:r>
      <w:r>
        <w:rPr>
          <w:rFonts w:ascii="Book Antiqua" w:hAnsi="Book Antiqua"/>
        </w:rPr>
        <w:t>provvedimento</w:t>
      </w:r>
      <w:r w:rsidR="00023941">
        <w:rPr>
          <w:rFonts w:ascii="Book Antiqua" w:hAnsi="Book Antiqua"/>
        </w:rPr>
        <w:t xml:space="preserve"> stesso</w:t>
      </w:r>
      <w:r>
        <w:rPr>
          <w:rFonts w:ascii="Book Antiqua" w:hAnsi="Book Antiqua"/>
        </w:rPr>
        <w:t xml:space="preserve">, non vengono invece conferite potestà tipicamente pubblicistiche.  </w:t>
      </w:r>
    </w:p>
    <w:p w:rsidR="00062FA9" w:rsidRDefault="001A2373">
      <w:pPr>
        <w:pStyle w:val="Titolo2"/>
      </w:pPr>
      <w:bookmarkStart w:id="4" w:name="_Toc462134430"/>
      <w:r>
        <w:t>La determinazione d</w:t>
      </w:r>
      <w:r>
        <w:t>ei costi</w:t>
      </w:r>
      <w:bookmarkEnd w:id="4"/>
      <w:r w:rsidR="00D728D0">
        <w:t xml:space="preserve"> operativi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Al fine di evitare l’insorgere di </w:t>
      </w:r>
      <w:r w:rsidR="00F13FE8">
        <w:rPr>
          <w:rFonts w:ascii="Book Antiqua" w:hAnsi="Book Antiqua"/>
        </w:rPr>
        <w:t>possibile</w:t>
      </w:r>
      <w:r w:rsidR="00F13FE8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contenzioso, si richiama l’attenzione circa la necessità che la</w:t>
      </w:r>
      <w:r>
        <w:rPr>
          <w:rFonts w:ascii="Book Antiqua" w:hAnsi="Book Antiqua"/>
          <w:b/>
        </w:rPr>
        <w:t xml:space="preserve"> determinazione </w:t>
      </w:r>
      <w:r w:rsidR="007C4008">
        <w:rPr>
          <w:rFonts w:ascii="Book Antiqua" w:hAnsi="Book Antiqua"/>
          <w:b/>
        </w:rPr>
        <w:t xml:space="preserve">dei costi operativi </w:t>
      </w:r>
      <w:r w:rsidR="00D728D0" w:rsidRPr="00F13FE8">
        <w:rPr>
          <w:rFonts w:ascii="Book Antiqua" w:hAnsi="Book Antiqua"/>
        </w:rPr>
        <w:t>o di procedura che possono essere addossati al contribuente</w:t>
      </w:r>
      <w:r w:rsidR="00D728D0">
        <w:rPr>
          <w:rFonts w:ascii="Book Antiqua" w:hAnsi="Book Antiqua"/>
          <w:b/>
        </w:rPr>
        <w:t xml:space="preserve"> </w:t>
      </w:r>
      <w:r w:rsidR="00D728D0">
        <w:rPr>
          <w:rFonts w:ascii="Book Antiqua" w:hAnsi="Book Antiqua"/>
        </w:rPr>
        <w:t xml:space="preserve">risulti </w:t>
      </w:r>
      <w:r>
        <w:rPr>
          <w:rFonts w:ascii="Book Antiqua" w:hAnsi="Book Antiqua"/>
        </w:rPr>
        <w:t>ancorata</w:t>
      </w:r>
      <w:r w:rsidR="00D728D0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ad </w:t>
      </w:r>
      <w:r>
        <w:rPr>
          <w:rFonts w:ascii="Book Antiqua" w:hAnsi="Book Antiqua"/>
          <w:b/>
        </w:rPr>
        <w:t>elementi oggettivi</w:t>
      </w:r>
      <w:r>
        <w:rPr>
          <w:rFonts w:ascii="Book Antiqua" w:hAnsi="Book Antiqua"/>
        </w:rPr>
        <w:t xml:space="preserve"> ricavabili da norme e prassi ordinariamente già utilizzat</w:t>
      </w:r>
      <w:r w:rsidR="00F13FE8">
        <w:rPr>
          <w:rFonts w:ascii="Book Antiqua" w:hAnsi="Book Antiqua"/>
        </w:rPr>
        <w:t>e</w:t>
      </w:r>
      <w:r>
        <w:rPr>
          <w:rFonts w:ascii="Book Antiqua" w:hAnsi="Book Antiqua"/>
        </w:rPr>
        <w:t xml:space="preserve"> per le attività </w:t>
      </w:r>
      <w:r w:rsidR="00D728D0">
        <w:rPr>
          <w:rFonts w:ascii="Book Antiqua" w:hAnsi="Book Antiqua"/>
        </w:rPr>
        <w:t>di riscossione</w:t>
      </w:r>
      <w:r>
        <w:rPr>
          <w:rFonts w:ascii="Book Antiqua" w:hAnsi="Book Antiqua"/>
        </w:rPr>
        <w:t xml:space="preserve">. </w:t>
      </w:r>
      <w:r w:rsidR="00D728D0">
        <w:rPr>
          <w:rFonts w:ascii="Book Antiqua" w:hAnsi="Book Antiqua"/>
        </w:rPr>
        <w:t>A</w:t>
      </w:r>
      <w:r>
        <w:rPr>
          <w:rFonts w:ascii="Book Antiqua" w:hAnsi="Book Antiqua"/>
        </w:rPr>
        <w:t xml:space="preserve">ppare </w:t>
      </w:r>
      <w:r w:rsidR="00D728D0">
        <w:rPr>
          <w:rFonts w:ascii="Book Antiqua" w:hAnsi="Book Antiqua"/>
        </w:rPr>
        <w:t xml:space="preserve">pertanto preferibile che la legge individui un </w:t>
      </w:r>
      <w:r>
        <w:rPr>
          <w:rFonts w:ascii="Book Antiqua" w:hAnsi="Book Antiqua"/>
        </w:rPr>
        <w:t>percorso di ufficializzazione delle determinanti di costo</w:t>
      </w:r>
      <w:r w:rsidR="00D728D0">
        <w:rPr>
          <w:rFonts w:ascii="Book Antiqua" w:hAnsi="Book Antiqua"/>
        </w:rPr>
        <w:t xml:space="preserve"> ancorato </w:t>
      </w:r>
      <w:r w:rsidR="00D728D0">
        <w:rPr>
          <w:rFonts w:ascii="Book Antiqua" w:hAnsi="Book Antiqua"/>
        </w:rPr>
        <w:t xml:space="preserve">ad </w:t>
      </w:r>
      <w:r w:rsidR="00D728D0">
        <w:rPr>
          <w:rFonts w:ascii="Book Antiqua" w:hAnsi="Book Antiqua"/>
          <w:b/>
        </w:rPr>
        <w:t xml:space="preserve">un provvedimento </w:t>
      </w:r>
      <w:r w:rsidR="00D728D0">
        <w:rPr>
          <w:rFonts w:ascii="Book Antiqua" w:hAnsi="Book Antiqua"/>
          <w:b/>
        </w:rPr>
        <w:t xml:space="preserve">attuativo </w:t>
      </w:r>
      <w:r w:rsidR="00D728D0">
        <w:rPr>
          <w:rFonts w:ascii="Book Antiqua" w:hAnsi="Book Antiqua"/>
          <w:b/>
        </w:rPr>
        <w:lastRenderedPageBreak/>
        <w:t>dell’amministrazione competente</w:t>
      </w:r>
      <w:r w:rsidR="00D728D0">
        <w:rPr>
          <w:rFonts w:ascii="Book Antiqua" w:hAnsi="Book Antiqua"/>
        </w:rPr>
        <w:t xml:space="preserve"> –  </w:t>
      </w:r>
      <w:r w:rsidR="00D728D0">
        <w:rPr>
          <w:rFonts w:ascii="Book Antiqua" w:hAnsi="Book Antiqua"/>
        </w:rPr>
        <w:t xml:space="preserve">a nostro avviso </w:t>
      </w:r>
      <w:r w:rsidR="00D728D0">
        <w:rPr>
          <w:rFonts w:ascii="Book Antiqua" w:hAnsi="Book Antiqua"/>
        </w:rPr>
        <w:t xml:space="preserve">identificabile </w:t>
      </w:r>
      <w:r w:rsidR="00D728D0">
        <w:rPr>
          <w:rFonts w:ascii="Book Antiqua" w:hAnsi="Book Antiqua"/>
        </w:rPr>
        <w:t xml:space="preserve">nel </w:t>
      </w:r>
      <w:r w:rsidR="00D728D0">
        <w:rPr>
          <w:rFonts w:ascii="Book Antiqua" w:hAnsi="Book Antiqua"/>
        </w:rPr>
        <w:t>ministero dell’Economia e delle finanze – da emanarsi previo confronto con associazioni di categoria e con gli enti locali,</w:t>
      </w:r>
      <w:r>
        <w:rPr>
          <w:rFonts w:ascii="Book Antiqua" w:hAnsi="Book Antiqua"/>
        </w:rPr>
        <w:t xml:space="preserve">. </w:t>
      </w:r>
    </w:p>
    <w:p w:rsidR="00062FA9" w:rsidRDefault="001A2373">
      <w:pPr>
        <w:pStyle w:val="Titolo2"/>
      </w:pPr>
      <w:bookmarkStart w:id="5" w:name="_Toc462134431"/>
      <w:r>
        <w:t>La remunerazione del servizio</w:t>
      </w:r>
      <w:bookmarkEnd w:id="5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Per ciò che riguarda gli aspetti relativi alla remunerazione del servizio (</w:t>
      </w:r>
      <w:r>
        <w:rPr>
          <w:rFonts w:ascii="Book Antiqua" w:hAnsi="Book Antiqua"/>
          <w:i/>
        </w:rPr>
        <w:t>pricing</w:t>
      </w:r>
      <w:r>
        <w:rPr>
          <w:rFonts w:ascii="Book Antiqua" w:hAnsi="Book Antiqua"/>
        </w:rPr>
        <w:t>) – combinato disposto del comma 2, l</w:t>
      </w:r>
      <w:r>
        <w:rPr>
          <w:rFonts w:ascii="Book Antiqua" w:hAnsi="Book Antiqua"/>
        </w:rPr>
        <w:t>ettera e) e del comma 4 – si ritiene che la regolazione debba essere demandata alla libera determinazione delle parti.</w:t>
      </w:r>
      <w:r w:rsidR="00023941">
        <w:rPr>
          <w:rFonts w:ascii="Book Antiqua" w:hAnsi="Book Antiqua"/>
        </w:rPr>
        <w:t xml:space="preserve"> </w:t>
      </w:r>
    </w:p>
    <w:p w:rsidR="00062FA9" w:rsidRDefault="001A2373">
      <w:pPr>
        <w:pStyle w:val="Titolo2"/>
      </w:pPr>
      <w:bookmarkStart w:id="6" w:name="_Toc462134432"/>
      <w:r>
        <w:t>Monitoraggio e controllo</w:t>
      </w:r>
      <w:bookmarkEnd w:id="6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V</w:t>
      </w:r>
      <w:r>
        <w:rPr>
          <w:rFonts w:ascii="Book Antiqua" w:hAnsi="Book Antiqua"/>
        </w:rPr>
        <w:t xml:space="preserve">a inoltre registrata l’assenza di ogni riferimento sia ai </w:t>
      </w:r>
      <w:r>
        <w:rPr>
          <w:rFonts w:ascii="Book Antiqua" w:hAnsi="Book Antiqua"/>
          <w:b/>
        </w:rPr>
        <w:t>requisiti di accesso</w:t>
      </w:r>
      <w:r>
        <w:rPr>
          <w:rFonts w:ascii="Book Antiqua" w:hAnsi="Book Antiqua"/>
        </w:rPr>
        <w:t xml:space="preserve"> al servizio sia di </w:t>
      </w:r>
      <w:r>
        <w:rPr>
          <w:rFonts w:ascii="Book Antiqua" w:hAnsi="Book Antiqua"/>
          <w:b/>
        </w:rPr>
        <w:t>dispositivi d</w:t>
      </w:r>
      <w:r>
        <w:rPr>
          <w:rFonts w:ascii="Book Antiqua" w:hAnsi="Book Antiqua"/>
          <w:b/>
        </w:rPr>
        <w:t>i controllo e monitoraggio</w:t>
      </w:r>
      <w:r>
        <w:rPr>
          <w:rFonts w:ascii="Book Antiqua" w:hAnsi="Book Antiqua"/>
        </w:rPr>
        <w:t xml:space="preserve"> dell’andamento e degli output del ricorso da parte dei Comuni al servizio di recupero crediti. </w:t>
      </w:r>
      <w:r w:rsidR="007C4008">
        <w:rPr>
          <w:rFonts w:ascii="Book Antiqua" w:hAnsi="Book Antiqua"/>
        </w:rPr>
        <w:t>Sembra opportuno che, al fine di accompagnare una prevedibile fase di espansione delle attività in questione, il Parlamento o le autorità amministrative che si ritengano più idonee allo scopo si dotino di strumenti di rilevazione delle principali componenti dei contratti di affidamento e svolgano indagini conoscitive sull’efficacia del recupero crediti.</w:t>
      </w:r>
    </w:p>
    <w:p w:rsidR="007C4008" w:rsidRDefault="007C4008">
      <w:pPr>
        <w:spacing w:after="120"/>
        <w:jc w:val="both"/>
        <w:rPr>
          <w:rFonts w:ascii="Book Antiqua" w:hAnsi="Book Antiqua"/>
        </w:rPr>
      </w:pP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Per quanto esposto</w:t>
      </w:r>
      <w:r w:rsidR="007C4008">
        <w:rPr>
          <w:rFonts w:ascii="Book Antiqua" w:hAnsi="Book Antiqua"/>
        </w:rPr>
        <w:t xml:space="preserve">, </w:t>
      </w:r>
      <w:r>
        <w:rPr>
          <w:rFonts w:ascii="Book Antiqua" w:hAnsi="Book Antiqua"/>
        </w:rPr>
        <w:t xml:space="preserve">alla luce della giurisprudenza formatasi nel merito, attesa la natura di servizio e non di concessione delle attività, l’iscrizione all’Albo ex art. 53 del D.Lgs. non è obbligatoria </w:t>
      </w:r>
      <w:r w:rsidR="007C4008">
        <w:rPr>
          <w:rFonts w:ascii="Book Antiqua" w:hAnsi="Book Antiqua"/>
        </w:rPr>
        <w:t xml:space="preserve">per </w:t>
      </w:r>
      <w:r>
        <w:rPr>
          <w:rFonts w:ascii="Book Antiqua" w:hAnsi="Book Antiqua"/>
        </w:rPr>
        <w:t>l’esercizio delle attività di recupero cr</w:t>
      </w:r>
      <w:r>
        <w:rPr>
          <w:rFonts w:ascii="Book Antiqua" w:hAnsi="Book Antiqua"/>
        </w:rPr>
        <w:t xml:space="preserve">editi. Tuttavia, vista la delicatezza del tema, è opportuno individuare dei </w:t>
      </w:r>
      <w:r>
        <w:rPr>
          <w:rFonts w:ascii="Book Antiqua" w:hAnsi="Book Antiqua"/>
          <w:b/>
        </w:rPr>
        <w:t>requisiti minimi</w:t>
      </w:r>
      <w:r>
        <w:rPr>
          <w:rFonts w:ascii="Book Antiqua" w:hAnsi="Book Antiqua"/>
        </w:rPr>
        <w:t>, verificabili e certificabili, in ordine a:</w:t>
      </w:r>
    </w:p>
    <w:p w:rsidR="00062FA9" w:rsidRDefault="001A2373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L’onorabilità, requisito che devono possedere amministratori, preposti, soci, ovvero l’azienda nel suo complesso;</w:t>
      </w:r>
    </w:p>
    <w:p w:rsidR="00062FA9" w:rsidRDefault="001A2373" w:rsidP="00F13FE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l’isc</w:t>
      </w:r>
      <w:r>
        <w:rPr>
          <w:rFonts w:ascii="Book Antiqua" w:hAnsi="Book Antiqua"/>
        </w:rPr>
        <w:t>rizione ad associazioni di categoria che prevedano griglie d’ingresso selettive e severi codici deontologici</w:t>
      </w:r>
    </w:p>
    <w:p w:rsidR="00062FA9" w:rsidRDefault="001A2373" w:rsidP="00F13FE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certificazioni </w:t>
      </w:r>
      <w:r w:rsidR="00F13FE8">
        <w:rPr>
          <w:rFonts w:ascii="Book Antiqua" w:hAnsi="Book Antiqua"/>
        </w:rPr>
        <w:t xml:space="preserve">e abilitazioni </w:t>
      </w:r>
      <w:r>
        <w:rPr>
          <w:rFonts w:ascii="Book Antiqua" w:hAnsi="Book Antiqua"/>
        </w:rPr>
        <w:t>di legge</w:t>
      </w:r>
    </w:p>
    <w:p w:rsidR="00D728D0" w:rsidRDefault="00F13FE8" w:rsidP="00F13FE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s</w:t>
      </w:r>
      <w:r w:rsidR="00D728D0">
        <w:rPr>
          <w:rFonts w:ascii="Book Antiqua" w:hAnsi="Book Antiqua"/>
        </w:rPr>
        <w:t xml:space="preserve">olidità economica e </w:t>
      </w:r>
      <w:r>
        <w:rPr>
          <w:rFonts w:ascii="Book Antiqua" w:hAnsi="Book Antiqua"/>
        </w:rPr>
        <w:t xml:space="preserve">dotazione di </w:t>
      </w:r>
      <w:r w:rsidR="00D728D0">
        <w:rPr>
          <w:rFonts w:ascii="Book Antiqua" w:hAnsi="Book Antiqua"/>
        </w:rPr>
        <w:t>garanzie;</w:t>
      </w:r>
    </w:p>
    <w:p w:rsidR="00D728D0" w:rsidRDefault="00D728D0" w:rsidP="00F13FE8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</w:p>
    <w:p w:rsidR="00D728D0" w:rsidRPr="00F13FE8" w:rsidRDefault="00D728D0" w:rsidP="00F13FE8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In fase di selezione degli affidatari e semmai evidenziabili in linee guida dovrebbero inoltre essere considerati elementi ulteriori quali:</w:t>
      </w:r>
    </w:p>
    <w:p w:rsidR="00D728D0" w:rsidRDefault="00D728D0" w:rsidP="00F13FE8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l</w:t>
      </w:r>
      <w:r w:rsidR="001A2373">
        <w:rPr>
          <w:rFonts w:ascii="Book Antiqua" w:hAnsi="Book Antiqua"/>
        </w:rPr>
        <w:t>a professionalità e trasparenza delle procedure adottate;</w:t>
      </w:r>
    </w:p>
    <w:p w:rsidR="00F13FE8" w:rsidRPr="00F13FE8" w:rsidRDefault="001A2373" w:rsidP="00F13FE8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 w:rsidRPr="00F13FE8">
        <w:rPr>
          <w:rFonts w:ascii="Book Antiqua" w:hAnsi="Book Antiqua"/>
        </w:rPr>
        <w:t>gli anni di esperienza specifica nel settore</w:t>
      </w:r>
      <w:r w:rsidR="00D728D0" w:rsidRPr="00F13FE8">
        <w:rPr>
          <w:rFonts w:ascii="Book Antiqua" w:hAnsi="Book Antiqua"/>
        </w:rPr>
        <w:t xml:space="preserve">; </w:t>
      </w:r>
    </w:p>
    <w:p w:rsidR="00062FA9" w:rsidRDefault="00F13FE8" w:rsidP="00F13FE8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qualificazione del </w:t>
      </w:r>
      <w:r w:rsidR="001A2373">
        <w:rPr>
          <w:rFonts w:ascii="Book Antiqua" w:hAnsi="Book Antiqua"/>
        </w:rPr>
        <w:t>personale;</w:t>
      </w:r>
    </w:p>
    <w:p w:rsidR="00062FA9" w:rsidRDefault="00F13FE8" w:rsidP="00F13FE8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l</w:t>
      </w:r>
      <w:r w:rsidR="001A2373">
        <w:rPr>
          <w:rFonts w:ascii="Book Antiqua" w:hAnsi="Book Antiqua"/>
        </w:rPr>
        <w:t>’efficacia e l’eff</w:t>
      </w:r>
      <w:r w:rsidR="001A2373">
        <w:rPr>
          <w:rFonts w:ascii="Book Antiqua" w:hAnsi="Book Antiqua"/>
        </w:rPr>
        <w:t>icienza delle performances di recupero.</w:t>
      </w:r>
    </w:p>
    <w:p w:rsidR="00062FA9" w:rsidRDefault="00062FA9">
      <w:pPr>
        <w:spacing w:after="120"/>
        <w:jc w:val="both"/>
        <w:rPr>
          <w:rFonts w:ascii="Book Antiqua" w:hAnsi="Book Antiqua"/>
        </w:rPr>
      </w:pPr>
    </w:p>
    <w:p w:rsidR="00062FA9" w:rsidRDefault="001A2373">
      <w:pPr>
        <w:pStyle w:val="Titolo1"/>
        <w:spacing w:before="0" w:after="120"/>
        <w:rPr>
          <w:rFonts w:ascii="Book Antiqua" w:hAnsi="Book Antiqua"/>
          <w:sz w:val="22"/>
          <w:szCs w:val="22"/>
        </w:rPr>
      </w:pPr>
      <w:bookmarkStart w:id="7" w:name="_Toc462134433"/>
      <w:r>
        <w:rPr>
          <w:rFonts w:ascii="Book Antiqua" w:hAnsi="Book Antiqua"/>
          <w:sz w:val="22"/>
          <w:szCs w:val="22"/>
        </w:rPr>
        <w:t>Conclusione</w:t>
      </w:r>
      <w:bookmarkEnd w:id="7"/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L’ANCI esprime il proprio parere favorevole sul provvedimento in esame, che considera un </w:t>
      </w:r>
      <w:r>
        <w:rPr>
          <w:rFonts w:ascii="Book Antiqua" w:hAnsi="Book Antiqua"/>
          <w:b/>
        </w:rPr>
        <w:t>avanzamento nel percorso di riforma organica della riscossione locale</w:t>
      </w:r>
      <w:r>
        <w:rPr>
          <w:rFonts w:ascii="Book Antiqua" w:hAnsi="Book Antiqua"/>
        </w:rPr>
        <w:t>.</w:t>
      </w:r>
    </w:p>
    <w:p w:rsidR="00062FA9" w:rsidRDefault="001A2373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Invitiamo però i decisori a riprendere quanto prima un confronto sul più ampio tema della riscossione, atteso che alcune modifiche del quadro vigente possono contribuire, già dal 2017 e senza attendere gli sviluppi sul futuro del principale riscossore nazi</w:t>
      </w:r>
      <w:r>
        <w:rPr>
          <w:rFonts w:ascii="Book Antiqua" w:hAnsi="Book Antiqua"/>
        </w:rPr>
        <w:t xml:space="preserve">onale, a rendere più efficiente sia il sistema degli affidamenti sia la gestione delle attività di accertamento e riscossione. </w:t>
      </w:r>
    </w:p>
    <w:p w:rsidR="00062FA9" w:rsidRDefault="00062FA9">
      <w:pPr>
        <w:spacing w:after="120"/>
        <w:jc w:val="both"/>
        <w:rPr>
          <w:rFonts w:ascii="Book Antiqua" w:hAnsi="Book Antiqua"/>
          <w:sz w:val="24"/>
          <w:szCs w:val="24"/>
        </w:rPr>
      </w:pPr>
      <w:bookmarkStart w:id="8" w:name="_GoBack"/>
      <w:bookmarkEnd w:id="8"/>
    </w:p>
    <w:sectPr w:rsidR="00062FA9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373" w:rsidRDefault="001A2373">
      <w:pPr>
        <w:spacing w:after="0" w:line="240" w:lineRule="auto"/>
      </w:pPr>
      <w:r>
        <w:separator/>
      </w:r>
    </w:p>
  </w:endnote>
  <w:endnote w:type="continuationSeparator" w:id="0">
    <w:p w:rsidR="001A2373" w:rsidRDefault="001A2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FA9" w:rsidRDefault="001A2373">
    <w:pPr>
      <w:pStyle w:val="Pidipagina"/>
      <w:jc w:val="center"/>
    </w:pPr>
    <w:r>
      <w:fldChar w:fldCharType="begin"/>
    </w:r>
    <w:r>
      <w:instrText>PAGE   \* MERGEFORMAT</w:instrText>
    </w:r>
    <w:r>
      <w:fldChar w:fldCharType="separate"/>
    </w:r>
    <w:r w:rsidR="00F13FE8">
      <w:rPr>
        <w:noProof/>
      </w:rPr>
      <w:t>4</w:t>
    </w:r>
    <w:r>
      <w:fldChar w:fldCharType="end"/>
    </w:r>
  </w:p>
  <w:p w:rsidR="00062FA9" w:rsidRDefault="00062FA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373" w:rsidRDefault="001A2373">
      <w:pPr>
        <w:spacing w:after="0" w:line="240" w:lineRule="auto"/>
      </w:pPr>
      <w:r>
        <w:separator/>
      </w:r>
    </w:p>
  </w:footnote>
  <w:footnote w:type="continuationSeparator" w:id="0">
    <w:p w:rsidR="001A2373" w:rsidRDefault="001A23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D270CE42"/>
    <w:lvl w:ilvl="0">
      <w:start w:val="1"/>
      <w:numFmt w:val="none"/>
      <w:pStyle w:val="Titolo1"/>
      <w:suff w:val="nothing"/>
      <w:lvlText w:val=""/>
      <w:lvlJc w:val="left"/>
      <w:pPr>
        <w:tabs>
          <w:tab w:val="left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584" w:hanging="1584"/>
      </w:pPr>
    </w:lvl>
  </w:abstractNum>
  <w:abstractNum w:abstractNumId="1" w15:restartNumberingAfterBreak="0">
    <w:nsid w:val="00000002"/>
    <w:multiLevelType w:val="hybridMultilevel"/>
    <w:tmpl w:val="059EC7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7ECB98">
      <w:start w:val="1"/>
      <w:numFmt w:val="bullet"/>
      <w:lvlText w:val=""/>
      <w:lvlJc w:val="left"/>
      <w:pPr>
        <w:ind w:left="1440" w:hanging="360"/>
      </w:pPr>
      <w:rPr>
        <w:rFonts w:ascii="Book Antiqua" w:eastAsia="Calibri" w:hAnsi="Book Antiqua" w:cs="SimSu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92D8CF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271E23E2"/>
    <w:lvl w:ilvl="0" w:tplc="C0BC60BA">
      <w:start w:val="1"/>
      <w:numFmt w:val="bullet"/>
      <w:lvlText w:val=""/>
      <w:lvlJc w:val="left"/>
      <w:pPr>
        <w:ind w:left="720" w:hanging="360"/>
      </w:pPr>
      <w:rPr>
        <w:rFonts w:ascii="Book Antiqua" w:eastAsia="Calibri" w:hAnsi="Book Antiqua" w:cs="SimSu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1C063A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CF822A7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B7B2458"/>
    <w:multiLevelType w:val="hybridMultilevel"/>
    <w:tmpl w:val="728CCF6E"/>
    <w:lvl w:ilvl="0" w:tplc="B5E6BF1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4A5771"/>
    <w:multiLevelType w:val="hybridMultilevel"/>
    <w:tmpl w:val="B790C3A6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1257456"/>
    <w:multiLevelType w:val="hybridMultilevel"/>
    <w:tmpl w:val="A6C8C45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2"/>
  </w:num>
  <w:num w:numId="8">
    <w:abstractNumId w:val="0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FA9"/>
    <w:rsid w:val="00023941"/>
    <w:rsid w:val="00062FA9"/>
    <w:rsid w:val="001A2373"/>
    <w:rsid w:val="007C4008"/>
    <w:rsid w:val="00D728D0"/>
    <w:rsid w:val="00F1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EA76BB-7EBF-44CF-BC47-CB5BCAC7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Corpotesto"/>
    <w:link w:val="Titolo1Carattere"/>
    <w:qFormat/>
    <w:pPr>
      <w:numPr>
        <w:numId w:val="2"/>
      </w:numPr>
      <w:suppressAutoHyphens/>
      <w:spacing w:before="100" w:after="62" w:line="240" w:lineRule="auto"/>
      <w:textAlignment w:val="baseline"/>
      <w:outlineLvl w:val="0"/>
    </w:pPr>
    <w:rPr>
      <w:rFonts w:ascii="Times New Roman" w:eastAsia="MS Mincho" w:hAnsi="Times New Roman" w:cs="Times New Roman"/>
      <w:b/>
      <w:bCs/>
      <w:color w:val="548DD4"/>
      <w:kern w:val="1"/>
      <w:sz w:val="24"/>
      <w:szCs w:val="48"/>
      <w:lang w:eastAsia="ar-SA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keepLines/>
      <w:numPr>
        <w:ilvl w:val="1"/>
        <w:numId w:val="2"/>
      </w:numPr>
      <w:spacing w:before="200" w:after="0"/>
      <w:outlineLvl w:val="1"/>
    </w:pPr>
    <w:rPr>
      <w:rFonts w:ascii="Cambria" w:eastAsia="SimSun" w:hAnsi="Cambria"/>
      <w:b/>
      <w:bCs/>
      <w:i/>
      <w:color w:val="4F81BD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Pr>
      <w:rFonts w:ascii="Cambria" w:eastAsia="SimSun" w:hAnsi="Cambria"/>
      <w:b/>
      <w:bCs/>
      <w:i/>
      <w:color w:val="4F81BD"/>
      <w:szCs w:val="26"/>
    </w:rPr>
  </w:style>
  <w:style w:type="character" w:customStyle="1" w:styleId="Titolo1Carattere">
    <w:name w:val="Titolo 1 Carattere"/>
    <w:basedOn w:val="Carpredefinitoparagrafo"/>
    <w:link w:val="Titolo1"/>
    <w:rPr>
      <w:rFonts w:ascii="Times New Roman" w:eastAsia="MS Mincho" w:hAnsi="Times New Roman" w:cs="Times New Roman"/>
      <w:b/>
      <w:bCs/>
      <w:color w:val="548DD4"/>
      <w:kern w:val="1"/>
      <w:sz w:val="24"/>
      <w:szCs w:val="48"/>
      <w:lang w:eastAsia="ar-SA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</w:style>
  <w:style w:type="paragraph" w:styleId="Testofumetto">
    <w:name w:val="Balloon Text"/>
    <w:basedOn w:val="Normale"/>
    <w:link w:val="TestofumettoCarattere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Pr>
      <w:rFonts w:ascii="Tahoma" w:hAnsi="Tahoma" w:cs="Tahoma"/>
      <w:sz w:val="16"/>
      <w:szCs w:val="16"/>
    </w:rPr>
  </w:style>
  <w:style w:type="paragraph" w:styleId="Titolosommario">
    <w:name w:val="TOC Heading"/>
    <w:basedOn w:val="Titolo1"/>
    <w:next w:val="Normale"/>
    <w:uiPriority w:val="39"/>
    <w:qFormat/>
    <w:pPr>
      <w:keepNext/>
      <w:keepLines/>
      <w:numPr>
        <w:numId w:val="0"/>
      </w:numPr>
      <w:suppressAutoHyphens w:val="0"/>
      <w:spacing w:before="480" w:after="0" w:line="276" w:lineRule="auto"/>
      <w:textAlignment w:val="auto"/>
      <w:outlineLvl w:val="9"/>
    </w:pPr>
    <w:rPr>
      <w:rFonts w:ascii="Cambria" w:eastAsia="SimSun" w:hAnsi="Cambria" w:cs="SimSun"/>
      <w:color w:val="365F91"/>
      <w:kern w:val="0"/>
      <w:sz w:val="28"/>
      <w:szCs w:val="28"/>
      <w:lang w:eastAsia="it-IT"/>
    </w:rPr>
  </w:style>
  <w:style w:type="paragraph" w:styleId="Sommario1">
    <w:name w:val="toc 1"/>
    <w:basedOn w:val="Normale"/>
    <w:next w:val="Normale"/>
    <w:uiPriority w:val="39"/>
    <w:pPr>
      <w:spacing w:after="100"/>
    </w:pPr>
  </w:style>
  <w:style w:type="character" w:styleId="Collegamentoipertestuale">
    <w:name w:val="Hyperlink"/>
    <w:basedOn w:val="Carpredefinitoparagrafo"/>
    <w:uiPriority w:val="9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Sommario2">
    <w:name w:val="toc 2"/>
    <w:basedOn w:val="Normale"/>
    <w:next w:val="Normale"/>
    <w:uiPriority w:val="39"/>
    <w:pPr>
      <w:spacing w:after="100"/>
      <w:ind w:left="220"/>
    </w:p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11FE6-6BDF-449A-B709-D4F354A0B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1407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Fabrizio Fazioli</dc:creator>
  <cp:lastModifiedBy>xx</cp:lastModifiedBy>
  <cp:revision>2</cp:revision>
  <dcterms:created xsi:type="dcterms:W3CDTF">2016-09-20T12:17:00Z</dcterms:created>
  <dcterms:modified xsi:type="dcterms:W3CDTF">2016-09-20T12:17:00Z</dcterms:modified>
</cp:coreProperties>
</file>