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AA3" w:rsidRPr="001D22B1" w:rsidRDefault="005E4097" w:rsidP="005E4097">
      <w:pPr>
        <w:shd w:val="clear" w:color="auto" w:fill="FFFFFF"/>
        <w:spacing w:after="120" w:line="273" w:lineRule="atLeast"/>
        <w:jc w:val="center"/>
        <w:rPr>
          <w:rFonts w:ascii="Book Antiqua" w:eastAsia="Times New Roman" w:hAnsi="Book Antiqua"/>
          <w:b/>
          <w:bCs/>
          <w:i/>
          <w:smallCaps/>
          <w:color w:val="4F81BD" w:themeColor="accent1"/>
          <w:sz w:val="24"/>
          <w:szCs w:val="24"/>
          <w:lang w:eastAsia="it-IT"/>
        </w:rPr>
      </w:pPr>
      <w:r w:rsidRPr="001D22B1">
        <w:rPr>
          <w:rFonts w:ascii="Book Antiqua" w:eastAsia="Times New Roman" w:hAnsi="Book Antiqua"/>
          <w:b/>
          <w:bCs/>
          <w:i/>
          <w:smallCaps/>
          <w:color w:val="4F81BD" w:themeColor="accent1"/>
          <w:sz w:val="24"/>
          <w:szCs w:val="24"/>
          <w:lang w:eastAsia="it-IT"/>
        </w:rPr>
        <w:t>focus sui comuni fino a 1.000 abitanti</w:t>
      </w:r>
    </w:p>
    <w:p w:rsidR="00F11AA3" w:rsidRDefault="00F11AA3" w:rsidP="00126C8A">
      <w:pPr>
        <w:shd w:val="clear" w:color="auto" w:fill="FFFFFF"/>
        <w:spacing w:after="0" w:line="273" w:lineRule="atLeast"/>
        <w:jc w:val="both"/>
        <w:rPr>
          <w:rFonts w:ascii="Book Antiqua" w:eastAsia="Times New Roman" w:hAnsi="Book Antiqua"/>
          <w:b/>
          <w:bCs/>
          <w:smallCaps/>
          <w:color w:val="222222"/>
          <w:sz w:val="20"/>
          <w:lang w:eastAsia="it-IT"/>
        </w:rPr>
      </w:pPr>
    </w:p>
    <w:p w:rsidR="000F1532" w:rsidRDefault="000F1532" w:rsidP="00126C8A">
      <w:pPr>
        <w:shd w:val="clear" w:color="auto" w:fill="FFFFFF"/>
        <w:spacing w:after="0" w:line="273" w:lineRule="atLeast"/>
        <w:jc w:val="both"/>
        <w:rPr>
          <w:rFonts w:ascii="Book Antiqua" w:eastAsia="Times New Roman" w:hAnsi="Book Antiqua"/>
          <w:b/>
          <w:bCs/>
          <w:smallCaps/>
          <w:color w:val="222222"/>
          <w:sz w:val="20"/>
          <w:lang w:eastAsia="it-IT"/>
        </w:rPr>
      </w:pPr>
    </w:p>
    <w:p w:rsidR="00031245" w:rsidRDefault="00031245" w:rsidP="00126C8A">
      <w:pPr>
        <w:shd w:val="clear" w:color="auto" w:fill="FFFFFF"/>
        <w:spacing w:after="0" w:line="273" w:lineRule="atLeast"/>
        <w:jc w:val="both"/>
        <w:rPr>
          <w:rFonts w:ascii="Book Antiqua" w:eastAsia="Times New Roman" w:hAnsi="Book Antiqua"/>
          <w:b/>
          <w:bCs/>
          <w:smallCaps/>
          <w:color w:val="222222"/>
          <w:sz w:val="20"/>
          <w:lang w:eastAsia="it-IT"/>
        </w:rPr>
      </w:pPr>
    </w:p>
    <w:p w:rsidR="005B66BE" w:rsidRPr="005B66BE" w:rsidRDefault="005B66BE" w:rsidP="005B66BE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76" w:lineRule="auto"/>
        <w:ind w:left="0" w:firstLine="0"/>
        <w:jc w:val="both"/>
        <w:rPr>
          <w:rFonts w:ascii="Book Antiqua" w:eastAsia="Times New Roman" w:hAnsi="Book Antiqua"/>
          <w:b/>
          <w:bCs/>
          <w:i/>
          <w:color w:val="4F81BD" w:themeColor="accent1"/>
          <w:lang w:eastAsia="it-IT"/>
        </w:rPr>
      </w:pPr>
      <w:r w:rsidRPr="005B66BE">
        <w:rPr>
          <w:rFonts w:ascii="Book Antiqua" w:eastAsia="Times New Roman" w:hAnsi="Book Antiqua"/>
          <w:b/>
          <w:bCs/>
          <w:i/>
          <w:color w:val="4F81BD" w:themeColor="accent1"/>
          <w:lang w:eastAsia="it-IT"/>
        </w:rPr>
        <w:t>Anagrafica dei Comuni fino a 1.000 abitanti</w:t>
      </w:r>
    </w:p>
    <w:p w:rsidR="00C33A38" w:rsidRPr="00610A0B" w:rsidRDefault="00610A0B" w:rsidP="00610A0B">
      <w:pPr>
        <w:shd w:val="clear" w:color="auto" w:fill="FFFFFF"/>
        <w:spacing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 w:rsidRPr="00610A0B">
        <w:rPr>
          <w:rFonts w:ascii="Book Antiqua" w:eastAsia="Times New Roman" w:hAnsi="Book Antiqua"/>
          <w:bCs/>
          <w:color w:val="222222"/>
          <w:lang w:eastAsia="it-IT"/>
        </w:rPr>
        <w:t xml:space="preserve">Alla data </w:t>
      </w:r>
      <w:r w:rsidR="007309BC">
        <w:rPr>
          <w:rFonts w:ascii="Book Antiqua" w:eastAsia="Times New Roman" w:hAnsi="Book Antiqua"/>
          <w:bCs/>
          <w:color w:val="222222"/>
          <w:lang w:eastAsia="it-IT"/>
        </w:rPr>
        <w:t>del 31 dicembre 2014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460543">
        <w:rPr>
          <w:rFonts w:ascii="Book Antiqua" w:eastAsia="Times New Roman" w:hAnsi="Book Antiqua"/>
          <w:bCs/>
          <w:color w:val="222222"/>
          <w:lang w:eastAsia="it-IT"/>
        </w:rPr>
        <w:t xml:space="preserve">in Italia </w:t>
      </w:r>
      <w:r w:rsidR="00FC19F3">
        <w:rPr>
          <w:rFonts w:ascii="Book Antiqua" w:eastAsia="Times New Roman" w:hAnsi="Book Antiqua"/>
          <w:bCs/>
          <w:color w:val="222222"/>
          <w:lang w:eastAsia="it-IT"/>
        </w:rPr>
        <w:t>i Comuni fino a 1.000 abitanti risultano 1.</w:t>
      </w:r>
      <w:r w:rsidR="00460543">
        <w:rPr>
          <w:rFonts w:ascii="Book Antiqua" w:eastAsia="Times New Roman" w:hAnsi="Book Antiqua"/>
          <w:bCs/>
          <w:color w:val="222222"/>
          <w:lang w:eastAsia="it-IT"/>
        </w:rPr>
        <w:t>994</w:t>
      </w:r>
      <w:r w:rsidR="00FC19F3">
        <w:rPr>
          <w:rFonts w:ascii="Book Antiqua" w:eastAsia="Times New Roman" w:hAnsi="Book Antiqua"/>
          <w:bCs/>
          <w:color w:val="222222"/>
          <w:lang w:eastAsia="it-IT"/>
        </w:rPr>
        <w:t xml:space="preserve"> (24</w:t>
      </w:r>
      <w:r w:rsidR="00460543">
        <w:rPr>
          <w:rFonts w:ascii="Book Antiqua" w:eastAsia="Times New Roman" w:hAnsi="Book Antiqua"/>
          <w:bCs/>
          <w:color w:val="222222"/>
          <w:lang w:eastAsia="it-IT"/>
        </w:rPr>
        <w:t>,7</w:t>
      </w:r>
      <w:r w:rsidR="007309BC">
        <w:rPr>
          <w:rFonts w:ascii="Book Antiqua" w:eastAsia="Times New Roman" w:hAnsi="Book Antiqua"/>
          <w:bCs/>
          <w:color w:val="222222"/>
          <w:lang w:eastAsia="it-IT"/>
        </w:rPr>
        <w:t>% del comparto</w:t>
      </w:r>
      <w:r w:rsidR="00FC19F3">
        <w:rPr>
          <w:rFonts w:ascii="Book Antiqua" w:eastAsia="Times New Roman" w:hAnsi="Book Antiqua"/>
          <w:bCs/>
          <w:color w:val="222222"/>
          <w:lang w:eastAsia="it-IT"/>
        </w:rPr>
        <w:t xml:space="preserve">), interessando </w:t>
      </w:r>
      <w:r w:rsidR="007309BC">
        <w:rPr>
          <w:rFonts w:ascii="Book Antiqua" w:eastAsia="Times New Roman" w:hAnsi="Book Antiqua"/>
          <w:bCs/>
          <w:color w:val="222222"/>
          <w:lang w:eastAsia="it-IT"/>
        </w:rPr>
        <w:t>poco più di un</w:t>
      </w:r>
      <w:r w:rsidR="00460543">
        <w:rPr>
          <w:rFonts w:ascii="Book Antiqua" w:eastAsia="Times New Roman" w:hAnsi="Book Antiqua"/>
          <w:bCs/>
          <w:color w:val="222222"/>
          <w:lang w:eastAsia="it-IT"/>
        </w:rPr>
        <w:t xml:space="preserve"> milion</w:t>
      </w:r>
      <w:r w:rsidR="007309BC">
        <w:rPr>
          <w:rFonts w:ascii="Book Antiqua" w:eastAsia="Times New Roman" w:hAnsi="Book Antiqua"/>
          <w:bCs/>
          <w:color w:val="222222"/>
          <w:lang w:eastAsia="it-IT"/>
        </w:rPr>
        <w:t>e</w:t>
      </w:r>
      <w:r w:rsidR="00460543">
        <w:rPr>
          <w:rFonts w:ascii="Book Antiqua" w:eastAsia="Times New Roman" w:hAnsi="Book Antiqua"/>
          <w:bCs/>
          <w:color w:val="222222"/>
          <w:lang w:eastAsia="it-IT"/>
        </w:rPr>
        <w:t xml:space="preserve"> di cittadini (1,8</w:t>
      </w:r>
      <w:r w:rsidR="00FC19F3">
        <w:rPr>
          <w:rFonts w:ascii="Book Antiqua" w:eastAsia="Times New Roman" w:hAnsi="Book Antiqua"/>
          <w:bCs/>
          <w:color w:val="222222"/>
          <w:lang w:eastAsia="it-IT"/>
        </w:rPr>
        <w:t>% della popolazione residente nel Paese)</w:t>
      </w:r>
      <w:r w:rsidR="004C3B68">
        <w:rPr>
          <w:rFonts w:ascii="Book Antiqua" w:eastAsia="Times New Roman" w:hAnsi="Book Antiqua"/>
          <w:bCs/>
          <w:color w:val="222222"/>
          <w:lang w:eastAsia="it-IT"/>
        </w:rPr>
        <w:t>. Il fenomeno si distribuisce con intensità disomogenea lungo il territorio nazionale, investendo in misura maggiore il Nord, in p</w:t>
      </w:r>
      <w:r w:rsidR="00460543">
        <w:rPr>
          <w:rFonts w:ascii="Book Antiqua" w:eastAsia="Times New Roman" w:hAnsi="Book Antiqua"/>
          <w:bCs/>
          <w:color w:val="222222"/>
          <w:lang w:eastAsia="it-IT"/>
        </w:rPr>
        <w:t>articolare Piemonte e Lombardia (</w:t>
      </w:r>
      <w:r w:rsidR="004C3B68">
        <w:rPr>
          <w:rFonts w:ascii="Book Antiqua" w:eastAsia="Times New Roman" w:hAnsi="Book Antiqua"/>
          <w:bCs/>
          <w:color w:val="222222"/>
          <w:lang w:eastAsia="it-IT"/>
        </w:rPr>
        <w:t>che raggruppano circa la metà deg</w:t>
      </w:r>
      <w:r w:rsidR="00460543">
        <w:rPr>
          <w:rFonts w:ascii="Book Antiqua" w:eastAsia="Times New Roman" w:hAnsi="Book Antiqua"/>
          <w:bCs/>
          <w:color w:val="222222"/>
          <w:lang w:eastAsia="it-IT"/>
        </w:rPr>
        <w:t>li enti presi in considerazione), ma anche Liguria, Valle d’Aosta e Trentino Alto Adige.</w:t>
      </w:r>
      <w:r w:rsidR="004C3B68">
        <w:rPr>
          <w:rFonts w:ascii="Book Antiqua" w:eastAsia="Times New Roman" w:hAnsi="Book Antiqua"/>
          <w:bCs/>
          <w:color w:val="222222"/>
          <w:lang w:eastAsia="it-IT"/>
        </w:rPr>
        <w:t xml:space="preserve"> Piuttosto bassa si</w:t>
      </w:r>
      <w:r w:rsidR="00821906">
        <w:rPr>
          <w:rFonts w:ascii="Book Antiqua" w:eastAsia="Times New Roman" w:hAnsi="Book Antiqua"/>
          <w:bCs/>
          <w:color w:val="222222"/>
          <w:lang w:eastAsia="it-IT"/>
        </w:rPr>
        <w:t xml:space="preserve"> rivela invece la consistenza del fenomeno nel Centro del Paese, mentre al Sud </w:t>
      </w:r>
      <w:r w:rsidR="00840476">
        <w:rPr>
          <w:rFonts w:ascii="Book Antiqua" w:eastAsia="Times New Roman" w:hAnsi="Book Antiqua"/>
          <w:bCs/>
          <w:color w:val="222222"/>
          <w:lang w:eastAsia="it-IT"/>
        </w:rPr>
        <w:t xml:space="preserve">e nelle Isole </w:t>
      </w:r>
      <w:r w:rsidR="00821906">
        <w:rPr>
          <w:rFonts w:ascii="Book Antiqua" w:eastAsia="Times New Roman" w:hAnsi="Book Antiqua"/>
          <w:bCs/>
          <w:color w:val="222222"/>
          <w:lang w:eastAsia="it-IT"/>
        </w:rPr>
        <w:t>la presenza dei Comuni fino a 1.000 abitanti investe soprattutto</w:t>
      </w:r>
      <w:r w:rsidR="00840476">
        <w:rPr>
          <w:rFonts w:ascii="Book Antiqua" w:eastAsia="Times New Roman" w:hAnsi="Book Antiqua"/>
          <w:bCs/>
          <w:color w:val="222222"/>
          <w:lang w:eastAsia="it-IT"/>
        </w:rPr>
        <w:t xml:space="preserve"> Abruzzo, Calabria e Sardegna.</w:t>
      </w:r>
    </w:p>
    <w:p w:rsidR="00C33A38" w:rsidRPr="00F02552" w:rsidRDefault="00C33A38" w:rsidP="007309BC">
      <w:pPr>
        <w:shd w:val="clear" w:color="auto" w:fill="FFFFFF"/>
        <w:spacing w:after="0" w:line="240" w:lineRule="auto"/>
        <w:jc w:val="center"/>
        <w:rPr>
          <w:rFonts w:ascii="Book Antiqua" w:eastAsia="Times New Roman" w:hAnsi="Book Antiqua"/>
          <w:bCs/>
          <w:smallCaps/>
          <w:color w:val="222222"/>
          <w:lang w:eastAsia="it-IT"/>
        </w:rPr>
      </w:pPr>
    </w:p>
    <w:p w:rsidR="00C33A38" w:rsidRPr="00F02552" w:rsidRDefault="00F02552" w:rsidP="00F02552">
      <w:pPr>
        <w:shd w:val="clear" w:color="auto" w:fill="FFFFFF"/>
        <w:spacing w:after="0" w:line="273" w:lineRule="atLeast"/>
        <w:jc w:val="center"/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</w:pPr>
      <w:r w:rsidRPr="00F02552"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  <w:t>TABELLA 1</w:t>
      </w:r>
    </w:p>
    <w:p w:rsidR="00F02552" w:rsidRDefault="001C5815" w:rsidP="001C5815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</w:pPr>
      <w:r w:rsidRPr="001C5815"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  <w:t>DISTRIBUZIONE TERRITORIALE DEI COMUNI FINO A 1.000 ABITANTI</w:t>
      </w:r>
    </w:p>
    <w:p w:rsidR="00454F3A" w:rsidRPr="00454F3A" w:rsidRDefault="00454F3A" w:rsidP="001C5815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bCs/>
          <w:color w:val="222222"/>
          <w:sz w:val="16"/>
          <w:lang w:eastAsia="it-IT"/>
        </w:rPr>
      </w:pPr>
      <w:r>
        <w:rPr>
          <w:rFonts w:ascii="Arial Narrow" w:eastAsia="Times New Roman" w:hAnsi="Arial Narrow"/>
          <w:bCs/>
          <w:color w:val="222222"/>
          <w:sz w:val="16"/>
          <w:lang w:eastAsia="it-IT"/>
        </w:rPr>
        <w:t>Valori assoluti e percentuali</w:t>
      </w:r>
    </w:p>
    <w:p w:rsidR="00F02552" w:rsidRPr="00454F3A" w:rsidRDefault="00F02552" w:rsidP="00F0255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</w:pPr>
    </w:p>
    <w:p w:rsidR="00C33A38" w:rsidRDefault="007309BC" w:rsidP="00C33A38">
      <w:pPr>
        <w:shd w:val="clear" w:color="auto" w:fill="FFFFFF"/>
        <w:spacing w:after="0" w:line="273" w:lineRule="atLeast"/>
        <w:jc w:val="center"/>
      </w:pPr>
      <w:r>
        <w:rPr>
          <w:noProof/>
          <w:lang w:eastAsia="it-IT"/>
        </w:rPr>
        <w:drawing>
          <wp:inline distT="0" distB="0" distL="0" distR="0">
            <wp:extent cx="3759835" cy="433324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835" cy="433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A38" w:rsidRDefault="0018469D" w:rsidP="00193C07">
      <w:pPr>
        <w:shd w:val="clear" w:color="auto" w:fill="FFFFFF"/>
        <w:spacing w:before="40" w:after="0" w:line="240" w:lineRule="auto"/>
        <w:jc w:val="center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Fonte: elaborazioni IFEL su dati ISTAT (Popolazione residente al 31.12.2014)</w:t>
      </w:r>
    </w:p>
    <w:p w:rsidR="00710360" w:rsidRPr="00031245" w:rsidRDefault="00031245" w:rsidP="00031245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76" w:lineRule="auto"/>
        <w:ind w:left="0" w:firstLine="0"/>
        <w:jc w:val="both"/>
        <w:rPr>
          <w:rFonts w:ascii="Book Antiqua" w:eastAsia="Times New Roman" w:hAnsi="Book Antiqua"/>
          <w:b/>
          <w:bCs/>
          <w:i/>
          <w:color w:val="4F81BD" w:themeColor="accent1"/>
          <w:lang w:eastAsia="it-IT"/>
        </w:rPr>
      </w:pPr>
      <w:r w:rsidRPr="00031245">
        <w:rPr>
          <w:rFonts w:ascii="Book Antiqua" w:eastAsia="Times New Roman" w:hAnsi="Book Antiqua"/>
          <w:b/>
          <w:bCs/>
          <w:i/>
          <w:color w:val="4F81BD" w:themeColor="accent1"/>
          <w:lang w:eastAsia="it-IT"/>
        </w:rPr>
        <w:lastRenderedPageBreak/>
        <w:t xml:space="preserve">Estensione degli obblighi </w:t>
      </w:r>
      <w:r w:rsidR="007309BC">
        <w:rPr>
          <w:rFonts w:ascii="Book Antiqua" w:eastAsia="Times New Roman" w:hAnsi="Book Antiqua"/>
          <w:b/>
          <w:bCs/>
          <w:i/>
          <w:color w:val="4F81BD" w:themeColor="accent1"/>
          <w:lang w:eastAsia="it-IT"/>
        </w:rPr>
        <w:t xml:space="preserve">di </w:t>
      </w:r>
      <w:r w:rsidRPr="00031245">
        <w:rPr>
          <w:rFonts w:ascii="Book Antiqua" w:eastAsia="Times New Roman" w:hAnsi="Book Antiqua"/>
          <w:b/>
          <w:bCs/>
          <w:i/>
          <w:color w:val="4F81BD" w:themeColor="accent1"/>
          <w:lang w:eastAsia="it-IT"/>
        </w:rPr>
        <w:t>finanza pubblica ai Comuni fino a 1.000 abitanti</w:t>
      </w:r>
    </w:p>
    <w:p w:rsidR="00B901A6" w:rsidRPr="00B901A6" w:rsidRDefault="00B901A6" w:rsidP="000F1532">
      <w:pPr>
        <w:shd w:val="clear" w:color="auto" w:fill="FFFFFF"/>
        <w:tabs>
          <w:tab w:val="num" w:pos="720"/>
        </w:tabs>
        <w:spacing w:before="60"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A partire dal 2016 anche i Comuni fino a 1.000 abitanti saranno obbligati 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al rispetto degli obblighi di finanza pubblica </w:t>
      </w:r>
      <w:r w:rsidR="006E1610">
        <w:rPr>
          <w:rFonts w:ascii="Book Antiqua" w:eastAsia="Times New Roman" w:hAnsi="Book Antiqua"/>
          <w:bCs/>
          <w:color w:val="222222"/>
          <w:lang w:eastAsia="it-IT"/>
        </w:rPr>
        <w:t>ordinariamente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 imposti al comparto, dovendo </w:t>
      </w:r>
      <w:r w:rsidR="008B3883">
        <w:rPr>
          <w:rFonts w:ascii="Book Antiqua" w:eastAsia="Times New Roman" w:hAnsi="Book Antiqua"/>
          <w:bCs/>
          <w:color w:val="222222"/>
          <w:lang w:eastAsia="it-IT"/>
        </w:rPr>
        <w:t>pertanto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conseguire un saldo di competenza potenziata non negativo, fatti salvi gli effetti redistributivi </w:t>
      </w:r>
      <w:r w:rsidR="00396727">
        <w:rPr>
          <w:rFonts w:ascii="Book Antiqua" w:eastAsia="Times New Roman" w:hAnsi="Book Antiqua"/>
          <w:bCs/>
          <w:color w:val="222222"/>
          <w:lang w:eastAsia="it-IT"/>
        </w:rPr>
        <w:t>che interverranno</w:t>
      </w:r>
      <w:r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 in corso d’anno</w:t>
      </w:r>
      <w:r>
        <w:rPr>
          <w:rFonts w:ascii="Book Antiqua" w:eastAsia="Times New Roman" w:hAnsi="Book Antiqua"/>
          <w:bCs/>
          <w:color w:val="222222"/>
          <w:lang w:eastAsia="it-IT"/>
        </w:rPr>
        <w:t>.</w:t>
      </w:r>
      <w:r w:rsidR="006E1610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A074FE">
        <w:rPr>
          <w:rFonts w:ascii="Book Antiqua" w:eastAsia="Times New Roman" w:hAnsi="Book Antiqua"/>
          <w:bCs/>
          <w:color w:val="222222"/>
          <w:lang w:eastAsia="it-IT"/>
        </w:rPr>
        <w:t>Diversamente dal decreto legislativo n. 138 del 2011 (articolo 16</w:t>
      </w:r>
      <w:r w:rsidR="007309BC">
        <w:rPr>
          <w:rFonts w:ascii="Book Antiqua" w:eastAsia="Times New Roman" w:hAnsi="Book Antiqua"/>
          <w:bCs/>
          <w:color w:val="222222"/>
          <w:lang w:eastAsia="it-IT"/>
        </w:rPr>
        <w:t>,</w:t>
      </w:r>
      <w:r w:rsidR="00A074FE">
        <w:rPr>
          <w:rFonts w:ascii="Book Antiqua" w:eastAsia="Times New Roman" w:hAnsi="Book Antiqua"/>
          <w:bCs/>
          <w:color w:val="222222"/>
          <w:lang w:eastAsia="it-IT"/>
        </w:rPr>
        <w:t xml:space="preserve"> comma 31)</w:t>
      </w:r>
      <w:r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, </w:t>
      </w:r>
      <w:r w:rsidR="008B3883">
        <w:rPr>
          <w:rFonts w:ascii="Book Antiqua" w:eastAsia="Times New Roman" w:hAnsi="Book Antiqua"/>
          <w:bCs/>
          <w:color w:val="222222"/>
          <w:lang w:eastAsia="it-IT"/>
        </w:rPr>
        <w:t>con il quale</w:t>
      </w:r>
      <w:r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 il legislatore </w:t>
      </w:r>
      <w:r w:rsidR="00396727">
        <w:rPr>
          <w:rFonts w:ascii="Book Antiqua" w:eastAsia="Times New Roman" w:hAnsi="Book Antiqua"/>
          <w:bCs/>
          <w:color w:val="222222"/>
          <w:lang w:eastAsia="it-IT"/>
        </w:rPr>
        <w:t>ha</w:t>
      </w:r>
      <w:r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 inteso</w:t>
      </w:r>
      <w:r w:rsidR="00396727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227BF1">
        <w:rPr>
          <w:rFonts w:ascii="Book Antiqua" w:eastAsia="Times New Roman" w:hAnsi="Book Antiqua"/>
          <w:bCs/>
          <w:color w:val="222222"/>
          <w:lang w:eastAsia="it-IT"/>
        </w:rPr>
        <w:t>estendere</w:t>
      </w:r>
      <w:r w:rsidR="00846B92">
        <w:rPr>
          <w:rFonts w:ascii="Book Antiqua" w:eastAsia="Times New Roman" w:hAnsi="Book Antiqua"/>
          <w:bCs/>
          <w:color w:val="222222"/>
          <w:lang w:eastAsia="it-IT"/>
        </w:rPr>
        <w:t xml:space="preserve"> le regole del</w:t>
      </w:r>
      <w:r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 Patto di stabilità interno</w:t>
      </w:r>
      <w:r w:rsidR="00396727"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227BF1">
        <w:rPr>
          <w:rFonts w:ascii="Book Antiqua" w:eastAsia="Times New Roman" w:hAnsi="Book Antiqua"/>
          <w:bCs/>
          <w:color w:val="222222"/>
          <w:lang w:eastAsia="it-IT"/>
        </w:rPr>
        <w:t>a</w:t>
      </w:r>
      <w:r w:rsidR="00846B92">
        <w:rPr>
          <w:rFonts w:ascii="Book Antiqua" w:eastAsia="Times New Roman" w:hAnsi="Book Antiqua"/>
          <w:bCs/>
          <w:color w:val="222222"/>
          <w:lang w:eastAsia="it-IT"/>
        </w:rPr>
        <w:t>i</w:t>
      </w:r>
      <w:r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 Comuni </w:t>
      </w:r>
      <w:r w:rsidR="0045189D">
        <w:rPr>
          <w:rFonts w:ascii="Book Antiqua" w:eastAsia="Times New Roman" w:hAnsi="Book Antiqua"/>
          <w:bCs/>
          <w:color w:val="222222"/>
          <w:lang w:eastAsia="it-IT"/>
        </w:rPr>
        <w:t>compresi</w:t>
      </w:r>
      <w:r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45189D">
        <w:rPr>
          <w:rFonts w:ascii="Book Antiqua" w:eastAsia="Times New Roman" w:hAnsi="Book Antiqua"/>
          <w:bCs/>
          <w:color w:val="222222"/>
          <w:lang w:eastAsia="it-IT"/>
        </w:rPr>
        <w:t>tra 1.001 e 5.000</w:t>
      </w:r>
      <w:r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 abitanti</w:t>
      </w:r>
      <w:r w:rsidR="00A074FE">
        <w:rPr>
          <w:rFonts w:ascii="Book Antiqua" w:eastAsia="Times New Roman" w:hAnsi="Book Antiqua"/>
          <w:bCs/>
          <w:color w:val="222222"/>
          <w:lang w:eastAsia="it-IT"/>
        </w:rPr>
        <w:t xml:space="preserve"> a partire dal 2013</w:t>
      </w:r>
      <w:r w:rsidR="00846B92">
        <w:rPr>
          <w:rFonts w:ascii="Book Antiqua" w:eastAsia="Times New Roman" w:hAnsi="Book Antiqua"/>
          <w:bCs/>
          <w:color w:val="222222"/>
          <w:lang w:eastAsia="it-IT"/>
        </w:rPr>
        <w:t>,</w:t>
      </w:r>
      <w:r w:rsidRPr="00B901A6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3B6C3C">
        <w:rPr>
          <w:rFonts w:ascii="Book Antiqua" w:eastAsia="Times New Roman" w:hAnsi="Book Antiqua"/>
          <w:bCs/>
          <w:color w:val="222222"/>
          <w:lang w:eastAsia="it-IT"/>
        </w:rPr>
        <w:t>continuando</w:t>
      </w:r>
      <w:r w:rsidR="00846B92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227BF1">
        <w:rPr>
          <w:rFonts w:ascii="Book Antiqua" w:eastAsia="Times New Roman" w:hAnsi="Book Antiqua"/>
          <w:bCs/>
          <w:color w:val="222222"/>
          <w:lang w:eastAsia="it-IT"/>
        </w:rPr>
        <w:t>quindi</w:t>
      </w:r>
      <w:r w:rsidR="00846B92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3B6C3C">
        <w:rPr>
          <w:rFonts w:ascii="Book Antiqua" w:eastAsia="Times New Roman" w:hAnsi="Book Antiqua"/>
          <w:bCs/>
          <w:color w:val="222222"/>
          <w:lang w:eastAsia="it-IT"/>
        </w:rPr>
        <w:t xml:space="preserve">ad escludere </w:t>
      </w:r>
      <w:r w:rsidR="00846B92">
        <w:rPr>
          <w:rFonts w:ascii="Book Antiqua" w:eastAsia="Times New Roman" w:hAnsi="Book Antiqua"/>
          <w:bCs/>
          <w:color w:val="222222"/>
          <w:lang w:eastAsia="it-IT"/>
        </w:rPr>
        <w:t>da tali vincoli gli enti fino a 1.000 abitanti</w:t>
      </w:r>
      <w:r w:rsidRPr="00B901A6">
        <w:rPr>
          <w:rFonts w:ascii="Book Antiqua" w:eastAsia="Times New Roman" w:hAnsi="Book Antiqua"/>
          <w:bCs/>
          <w:color w:val="222222"/>
          <w:lang w:eastAsia="it-IT"/>
        </w:rPr>
        <w:t>, la legge n. 243 del 2012 non prevede alcuna esenzione demografica sotto questo aspetto</w:t>
      </w:r>
      <w:r w:rsidR="0085204A">
        <w:rPr>
          <w:rFonts w:ascii="Book Antiqua" w:eastAsia="Times New Roman" w:hAnsi="Book Antiqua"/>
          <w:bCs/>
          <w:color w:val="222222"/>
          <w:lang w:eastAsia="it-IT"/>
        </w:rPr>
        <w:t>.</w:t>
      </w:r>
    </w:p>
    <w:p w:rsidR="00243738" w:rsidRPr="00243738" w:rsidRDefault="00D20FB1" w:rsidP="00243738">
      <w:pPr>
        <w:shd w:val="clear" w:color="auto" w:fill="FFFFFF"/>
        <w:tabs>
          <w:tab w:val="num" w:pos="720"/>
        </w:tabs>
        <w:spacing w:before="120"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>
        <w:rPr>
          <w:rFonts w:ascii="Book Antiqua" w:eastAsia="Times New Roman" w:hAnsi="Book Antiqua"/>
          <w:bCs/>
          <w:color w:val="222222"/>
          <w:lang w:eastAsia="it-IT"/>
        </w:rPr>
        <w:t>Alla luce di questo nuovo orientamento normativo, molte preoccupazioni vanno emergendo tra amministratori e operatori coinvolti</w:t>
      </w:r>
      <w:r w:rsidR="00F9264E">
        <w:rPr>
          <w:rFonts w:ascii="Book Antiqua" w:eastAsia="Times New Roman" w:hAnsi="Book Antiqua"/>
          <w:bCs/>
          <w:color w:val="222222"/>
          <w:lang w:eastAsia="it-IT"/>
        </w:rPr>
        <w:t>, in particolare per quanto concerne la sostenibilità finanziaria dell’impatto che il nuovo vincolo di finanza pubblica determinerà su</w:t>
      </w:r>
      <w:r w:rsidR="00193C07">
        <w:rPr>
          <w:rFonts w:ascii="Book Antiqua" w:eastAsia="Times New Roman" w:hAnsi="Book Antiqua"/>
          <w:bCs/>
          <w:color w:val="222222"/>
          <w:lang w:eastAsia="it-IT"/>
        </w:rPr>
        <w:t>i</w:t>
      </w:r>
      <w:r w:rsidR="00F9264E">
        <w:rPr>
          <w:rFonts w:ascii="Book Antiqua" w:eastAsia="Times New Roman" w:hAnsi="Book Antiqua"/>
          <w:bCs/>
          <w:color w:val="222222"/>
          <w:lang w:eastAsia="it-IT"/>
        </w:rPr>
        <w:t xml:space="preserve"> bilanci </w:t>
      </w:r>
      <w:r w:rsidR="007309BC">
        <w:rPr>
          <w:rFonts w:ascii="Book Antiqua" w:eastAsia="Times New Roman" w:hAnsi="Book Antiqua"/>
          <w:bCs/>
          <w:color w:val="222222"/>
          <w:lang w:eastAsia="it-IT"/>
        </w:rPr>
        <w:t xml:space="preserve">dei Comuni di minori dimensioni, </w:t>
      </w:r>
      <w:r w:rsidR="00F9264E">
        <w:rPr>
          <w:rFonts w:ascii="Book Antiqua" w:eastAsia="Times New Roman" w:hAnsi="Book Antiqua"/>
          <w:bCs/>
          <w:color w:val="222222"/>
          <w:lang w:eastAsia="it-IT"/>
        </w:rPr>
        <w:t xml:space="preserve">generalmente caratterizzati da </w:t>
      </w:r>
      <w:r w:rsidR="008500E0">
        <w:rPr>
          <w:rFonts w:ascii="Book Antiqua" w:eastAsia="Times New Roman" w:hAnsi="Book Antiqua"/>
          <w:bCs/>
          <w:color w:val="222222"/>
          <w:lang w:eastAsia="it-IT"/>
        </w:rPr>
        <w:t>un elevato grado di rigidità, tanto sul fronte delle entrate quanto sul versante delle spese.</w:t>
      </w:r>
      <w:r w:rsidR="00F9264E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052BC7" w:rsidRPr="00052BC7">
        <w:rPr>
          <w:rFonts w:ascii="Book Antiqua" w:eastAsia="Times New Roman" w:hAnsi="Book Antiqua"/>
          <w:bCs/>
          <w:color w:val="222222"/>
          <w:lang w:eastAsia="it-IT"/>
        </w:rPr>
        <w:t xml:space="preserve">L’analisi dei bilanci evidenzia </w:t>
      </w:r>
      <w:r w:rsidR="002927C0">
        <w:rPr>
          <w:rFonts w:ascii="Book Antiqua" w:eastAsia="Times New Roman" w:hAnsi="Book Antiqua"/>
          <w:bCs/>
          <w:color w:val="222222"/>
          <w:lang w:eastAsia="it-IT"/>
        </w:rPr>
        <w:t xml:space="preserve">tuttavia </w:t>
      </w:r>
      <w:r w:rsidR="00052BC7" w:rsidRPr="00052BC7">
        <w:rPr>
          <w:rFonts w:ascii="Book Antiqua" w:eastAsia="Times New Roman" w:hAnsi="Book Antiqua"/>
          <w:bCs/>
          <w:color w:val="222222"/>
          <w:lang w:eastAsia="it-IT"/>
        </w:rPr>
        <w:t>come i Comuni più piccoli</w:t>
      </w:r>
      <w:r w:rsidR="007F0A94" w:rsidRPr="007F0A94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7F0A94">
        <w:rPr>
          <w:rFonts w:ascii="Book Antiqua" w:eastAsia="Times New Roman" w:hAnsi="Book Antiqua"/>
          <w:bCs/>
          <w:color w:val="222222"/>
          <w:lang w:eastAsia="it-IT"/>
        </w:rPr>
        <w:t>negli</w:t>
      </w:r>
      <w:r w:rsidR="007F0A94" w:rsidRPr="00052BC7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7F0A94">
        <w:rPr>
          <w:rFonts w:ascii="Book Antiqua" w:eastAsia="Times New Roman" w:hAnsi="Book Antiqua"/>
          <w:bCs/>
          <w:color w:val="222222"/>
          <w:lang w:eastAsia="it-IT"/>
        </w:rPr>
        <w:t xml:space="preserve">ultimi </w:t>
      </w:r>
      <w:r w:rsidR="007F0A94" w:rsidRPr="00052BC7">
        <w:rPr>
          <w:rFonts w:ascii="Book Antiqua" w:eastAsia="Times New Roman" w:hAnsi="Book Antiqua"/>
          <w:bCs/>
          <w:color w:val="222222"/>
          <w:lang w:eastAsia="it-IT"/>
        </w:rPr>
        <w:t>anni</w:t>
      </w:r>
      <w:r w:rsidR="00052BC7" w:rsidRPr="00052BC7">
        <w:rPr>
          <w:rFonts w:ascii="Book Antiqua" w:eastAsia="Times New Roman" w:hAnsi="Book Antiqua"/>
          <w:bCs/>
          <w:color w:val="222222"/>
          <w:lang w:eastAsia="it-IT"/>
        </w:rPr>
        <w:t xml:space="preserve">, </w:t>
      </w:r>
      <w:r w:rsidR="005B505B">
        <w:rPr>
          <w:rFonts w:ascii="Book Antiqua" w:eastAsia="Times New Roman" w:hAnsi="Book Antiqua"/>
          <w:bCs/>
          <w:color w:val="222222"/>
          <w:lang w:eastAsia="it-IT"/>
        </w:rPr>
        <w:t>pur esclusi dai vincoli del Patto di stabilità interno,</w:t>
      </w:r>
      <w:r w:rsidR="00052BC7" w:rsidRPr="00052BC7">
        <w:rPr>
          <w:rFonts w:ascii="Book Antiqua" w:eastAsia="Times New Roman" w:hAnsi="Book Antiqua"/>
          <w:bCs/>
          <w:color w:val="222222"/>
          <w:lang w:eastAsia="it-IT"/>
        </w:rPr>
        <w:t xml:space="preserve"> abbiano </w:t>
      </w:r>
      <w:r w:rsidR="002927C0">
        <w:rPr>
          <w:rFonts w:ascii="Book Antiqua" w:eastAsia="Times New Roman" w:hAnsi="Book Antiqua"/>
          <w:bCs/>
          <w:color w:val="222222"/>
          <w:lang w:eastAsia="it-IT"/>
        </w:rPr>
        <w:t xml:space="preserve">comunque </w:t>
      </w:r>
      <w:r w:rsidR="00052BC7" w:rsidRPr="00052BC7">
        <w:rPr>
          <w:rFonts w:ascii="Book Antiqua" w:eastAsia="Times New Roman" w:hAnsi="Book Antiqua"/>
          <w:bCs/>
          <w:color w:val="222222"/>
          <w:lang w:eastAsia="it-IT"/>
        </w:rPr>
        <w:t>intrapreso un significativo percorso di efficientamento finanziario, in particolare sul versante della competenza</w:t>
      </w:r>
      <w:r w:rsidR="002927C0">
        <w:rPr>
          <w:rFonts w:ascii="Book Antiqua" w:eastAsia="Times New Roman" w:hAnsi="Book Antiqua"/>
          <w:bCs/>
          <w:color w:val="222222"/>
          <w:lang w:eastAsia="it-IT"/>
        </w:rPr>
        <w:t>.</w:t>
      </w:r>
      <w:r w:rsidR="00052BC7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5B505B">
        <w:rPr>
          <w:rFonts w:ascii="Book Antiqua" w:eastAsia="Times New Roman" w:hAnsi="Book Antiqua"/>
          <w:bCs/>
          <w:color w:val="222222"/>
          <w:lang w:eastAsia="it-IT"/>
        </w:rPr>
        <w:t>Basti pensare che a</w:t>
      </w:r>
      <w:r w:rsidR="00052BC7" w:rsidRPr="00052BC7">
        <w:rPr>
          <w:rFonts w:ascii="Book Antiqua" w:eastAsia="Times New Roman" w:hAnsi="Book Antiqua"/>
          <w:bCs/>
          <w:color w:val="222222"/>
          <w:lang w:eastAsia="it-IT"/>
        </w:rPr>
        <w:t xml:space="preserve"> livello nazionale</w:t>
      </w:r>
      <w:r w:rsidR="00E050E2">
        <w:rPr>
          <w:rFonts w:ascii="Book Antiqua" w:eastAsia="Times New Roman" w:hAnsi="Book Antiqua"/>
          <w:bCs/>
          <w:color w:val="222222"/>
          <w:lang w:eastAsia="it-IT"/>
        </w:rPr>
        <w:t>,</w:t>
      </w:r>
      <w:r w:rsidR="00052BC7" w:rsidRPr="00052BC7">
        <w:rPr>
          <w:rFonts w:ascii="Book Antiqua" w:eastAsia="Times New Roman" w:hAnsi="Book Antiqua"/>
          <w:bCs/>
          <w:color w:val="222222"/>
          <w:lang w:eastAsia="it-IT"/>
        </w:rPr>
        <w:t xml:space="preserve"> dal 2012 al 2014</w:t>
      </w:r>
      <w:r w:rsidR="00E050E2">
        <w:rPr>
          <w:rFonts w:ascii="Book Antiqua" w:eastAsia="Times New Roman" w:hAnsi="Book Antiqua"/>
          <w:bCs/>
          <w:color w:val="222222"/>
          <w:lang w:eastAsia="it-IT"/>
        </w:rPr>
        <w:t>,</w:t>
      </w:r>
      <w:r w:rsidR="005B505B">
        <w:rPr>
          <w:rFonts w:ascii="Book Antiqua" w:eastAsia="Times New Roman" w:hAnsi="Book Antiqua"/>
          <w:bCs/>
          <w:color w:val="222222"/>
          <w:lang w:eastAsia="it-IT"/>
        </w:rPr>
        <w:t xml:space="preserve"> quasi si dimezza il numero di e</w:t>
      </w:r>
      <w:r w:rsidR="00052BC7" w:rsidRPr="00052BC7">
        <w:rPr>
          <w:rFonts w:ascii="Book Antiqua" w:eastAsia="Times New Roman" w:hAnsi="Book Antiqua"/>
          <w:bCs/>
          <w:color w:val="222222"/>
          <w:lang w:eastAsia="it-IT"/>
        </w:rPr>
        <w:t xml:space="preserve">nti con saldo di competenza negativo, </w:t>
      </w:r>
      <w:r w:rsidR="001B05E5">
        <w:rPr>
          <w:rFonts w:ascii="Book Antiqua" w:eastAsia="Times New Roman" w:hAnsi="Book Antiqua"/>
          <w:bCs/>
          <w:color w:val="222222"/>
          <w:lang w:eastAsia="it-IT"/>
        </w:rPr>
        <w:t xml:space="preserve">mentre in termini aggregati </w:t>
      </w:r>
      <w:r w:rsidR="00C5632D">
        <w:rPr>
          <w:rFonts w:ascii="Book Antiqua" w:eastAsia="Times New Roman" w:hAnsi="Book Antiqua"/>
          <w:bCs/>
          <w:color w:val="222222"/>
          <w:lang w:eastAsia="it-IT"/>
        </w:rPr>
        <w:t xml:space="preserve">il </w:t>
      </w:r>
      <w:r w:rsidR="007309BC">
        <w:rPr>
          <w:rFonts w:ascii="Book Antiqua" w:eastAsia="Times New Roman" w:hAnsi="Book Antiqua"/>
          <w:bCs/>
          <w:color w:val="222222"/>
          <w:lang w:eastAsia="it-IT"/>
        </w:rPr>
        <w:t>saldo di competenza passa da 2</w:t>
      </w:r>
      <w:r w:rsidR="00C5632D">
        <w:rPr>
          <w:rFonts w:ascii="Book Antiqua" w:eastAsia="Times New Roman" w:hAnsi="Book Antiqua"/>
          <w:bCs/>
          <w:color w:val="222222"/>
          <w:lang w:eastAsia="it-IT"/>
        </w:rPr>
        <w:t xml:space="preserve"> euro procapite </w:t>
      </w:r>
      <w:r w:rsidR="007309BC">
        <w:rPr>
          <w:rFonts w:ascii="Book Antiqua" w:eastAsia="Times New Roman" w:hAnsi="Book Antiqua"/>
          <w:bCs/>
          <w:color w:val="222222"/>
          <w:lang w:eastAsia="it-IT"/>
        </w:rPr>
        <w:t>nel</w:t>
      </w:r>
      <w:r w:rsidR="00C5632D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7309BC">
        <w:rPr>
          <w:rFonts w:ascii="Book Antiqua" w:eastAsia="Times New Roman" w:hAnsi="Book Antiqua"/>
          <w:bCs/>
          <w:color w:val="222222"/>
          <w:lang w:eastAsia="it-IT"/>
        </w:rPr>
        <w:t xml:space="preserve">2012 a </w:t>
      </w:r>
      <w:r w:rsidR="001D22B1">
        <w:rPr>
          <w:rFonts w:ascii="Book Antiqua" w:eastAsia="Times New Roman" w:hAnsi="Book Antiqua"/>
          <w:bCs/>
          <w:color w:val="222222"/>
          <w:lang w:eastAsia="it-IT"/>
        </w:rPr>
        <w:t>59</w:t>
      </w:r>
      <w:r w:rsidR="00C5632D">
        <w:rPr>
          <w:rFonts w:ascii="Book Antiqua" w:eastAsia="Times New Roman" w:hAnsi="Book Antiqua"/>
          <w:bCs/>
          <w:color w:val="222222"/>
          <w:lang w:eastAsia="it-IT"/>
        </w:rPr>
        <w:t xml:space="preserve"> euro procapite </w:t>
      </w:r>
      <w:r w:rsidR="007309BC">
        <w:rPr>
          <w:rFonts w:ascii="Book Antiqua" w:eastAsia="Times New Roman" w:hAnsi="Book Antiqua"/>
          <w:bCs/>
          <w:color w:val="222222"/>
          <w:lang w:eastAsia="it-IT"/>
        </w:rPr>
        <w:t>nel</w:t>
      </w:r>
      <w:r w:rsidR="00C5632D">
        <w:rPr>
          <w:rFonts w:ascii="Book Antiqua" w:eastAsia="Times New Roman" w:hAnsi="Book Antiqua"/>
          <w:bCs/>
          <w:color w:val="222222"/>
          <w:lang w:eastAsia="it-IT"/>
        </w:rPr>
        <w:t xml:space="preserve"> 2014.</w:t>
      </w:r>
    </w:p>
    <w:p w:rsidR="00710360" w:rsidRPr="00630A5C" w:rsidRDefault="00710360" w:rsidP="00630A5C">
      <w:pPr>
        <w:shd w:val="clear" w:color="auto" w:fill="FFFFFF"/>
        <w:spacing w:after="0" w:line="240" w:lineRule="auto"/>
        <w:jc w:val="center"/>
        <w:rPr>
          <w:rFonts w:ascii="Book Antiqua" w:hAnsi="Book Antiqua"/>
        </w:rPr>
      </w:pPr>
    </w:p>
    <w:p w:rsidR="00630A5C" w:rsidRPr="00F02552" w:rsidRDefault="00ED1B14" w:rsidP="00630A5C">
      <w:pPr>
        <w:shd w:val="clear" w:color="auto" w:fill="FFFFFF"/>
        <w:spacing w:after="0" w:line="273" w:lineRule="atLeast"/>
        <w:jc w:val="center"/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</w:pPr>
      <w:r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  <w:t>GRAFICO 2</w:t>
      </w:r>
    </w:p>
    <w:p w:rsidR="00630A5C" w:rsidRPr="001C5815" w:rsidRDefault="00ED1B14" w:rsidP="00630A5C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</w:pPr>
      <w:r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  <w:t xml:space="preserve">NUMERO DI COMUNI </w:t>
      </w:r>
      <w:r w:rsidR="00193C07"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  <w:t xml:space="preserve">FINO A 1.000 ABITANTI </w:t>
      </w:r>
      <w:r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  <w:t>CON SALDO DI</w:t>
      </w:r>
      <w:r w:rsidR="00193C07"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  <w:t xml:space="preserve"> COMPETENZA NEGATIVO E </w:t>
      </w:r>
      <w:r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  <w:t>VALORE PRO CAPITE</w:t>
      </w:r>
      <w:r w:rsidR="00193C07"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  <w:t xml:space="preserve"> </w:t>
      </w:r>
      <w:r w:rsidR="00193C07">
        <w:rPr>
          <w:rFonts w:ascii="Arial Narrow" w:eastAsia="Times New Roman" w:hAnsi="Arial Narrow"/>
          <w:bCs/>
          <w:color w:val="222222"/>
          <w:sz w:val="16"/>
          <w:lang w:eastAsia="it-IT"/>
        </w:rPr>
        <w:t>AGGREGATO</w:t>
      </w:r>
    </w:p>
    <w:p w:rsidR="00630A5C" w:rsidRDefault="00014A30" w:rsidP="00630A5C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</w:pPr>
      <w:r>
        <w:rPr>
          <w:rFonts w:ascii="Arial Narrow" w:eastAsia="Times New Roman" w:hAnsi="Arial Narrow"/>
          <w:bCs/>
          <w:color w:val="222222"/>
          <w:sz w:val="16"/>
          <w:lang w:eastAsia="it-IT"/>
        </w:rPr>
        <w:t>Anni</w:t>
      </w:r>
      <w:r w:rsidR="00ED1B14" w:rsidRPr="00ED1B14"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  <w:t xml:space="preserve"> 2012-2014</w:t>
      </w:r>
    </w:p>
    <w:p w:rsidR="00ED1B14" w:rsidRPr="00ED1B14" w:rsidRDefault="00ED1B14" w:rsidP="00630A5C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bCs/>
          <w:smallCaps/>
          <w:color w:val="222222"/>
          <w:sz w:val="10"/>
          <w:lang w:eastAsia="it-IT"/>
        </w:rPr>
      </w:pPr>
    </w:p>
    <w:p w:rsidR="00710360" w:rsidRDefault="007309BC" w:rsidP="00083F4E">
      <w:pPr>
        <w:shd w:val="clear" w:color="auto" w:fill="FFFFFF"/>
        <w:spacing w:after="0" w:line="273" w:lineRule="atLeast"/>
        <w:jc w:val="center"/>
      </w:pPr>
      <w:r>
        <w:rPr>
          <w:noProof/>
          <w:lang w:eastAsia="it-IT"/>
        </w:rPr>
        <w:drawing>
          <wp:inline distT="0" distB="0" distL="0" distR="0">
            <wp:extent cx="5397500" cy="2012950"/>
            <wp:effectExtent l="0" t="0" r="0" b="6350"/>
            <wp:docPr id="48" name="Immagin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201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A5C" w:rsidRPr="00840476" w:rsidRDefault="00ED1B14" w:rsidP="00E23818">
      <w:pPr>
        <w:shd w:val="clear" w:color="auto" w:fill="FFFFFF"/>
        <w:spacing w:after="0" w:line="240" w:lineRule="auto"/>
        <w:jc w:val="center"/>
        <w:rPr>
          <w:rFonts w:ascii="Arial Narrow" w:hAnsi="Arial Narrow"/>
          <w:sz w:val="16"/>
        </w:rPr>
      </w:pPr>
      <w:r w:rsidRPr="00ED1B14">
        <w:rPr>
          <w:rFonts w:ascii="Arial Narrow" w:hAnsi="Arial Narrow"/>
          <w:sz w:val="16"/>
        </w:rPr>
        <w:t>Fonte: IFEL su dati Certificati Conto Consuntivo 2012-2014 (Campione: 1.486 su 1.994 Comuni con popolazione fino a 1.000 ab. al 31.12.2014)</w:t>
      </w:r>
    </w:p>
    <w:p w:rsidR="00051F12" w:rsidRPr="0015354A" w:rsidRDefault="00051F12" w:rsidP="00E23818">
      <w:pPr>
        <w:shd w:val="clear" w:color="auto" w:fill="FFFFFF"/>
        <w:spacing w:after="0" w:line="240" w:lineRule="auto"/>
        <w:jc w:val="center"/>
        <w:rPr>
          <w:rFonts w:ascii="Book Antiqua" w:hAnsi="Book Antiqua"/>
        </w:rPr>
      </w:pPr>
    </w:p>
    <w:p w:rsidR="00051F12" w:rsidRPr="00B2251F" w:rsidRDefault="00B2251F" w:rsidP="00E23818">
      <w:pPr>
        <w:shd w:val="clear" w:color="auto" w:fill="FFFFFF"/>
        <w:tabs>
          <w:tab w:val="num" w:pos="720"/>
        </w:tabs>
        <w:spacing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 w:rsidRPr="00B2251F">
        <w:rPr>
          <w:rFonts w:ascii="Book Antiqua" w:eastAsia="Times New Roman" w:hAnsi="Book Antiqua"/>
          <w:bCs/>
          <w:color w:val="222222"/>
          <w:lang w:eastAsia="it-IT"/>
        </w:rPr>
        <w:t xml:space="preserve">Sebbene dalle </w:t>
      </w:r>
      <w:r w:rsidR="00AE7D9D">
        <w:rPr>
          <w:rFonts w:ascii="Book Antiqua" w:eastAsia="Times New Roman" w:hAnsi="Book Antiqua"/>
          <w:bCs/>
          <w:color w:val="222222"/>
          <w:lang w:eastAsia="it-IT"/>
        </w:rPr>
        <w:t>informazioni</w:t>
      </w:r>
      <w:r w:rsidRPr="00B2251F">
        <w:rPr>
          <w:rFonts w:ascii="Book Antiqua" w:eastAsia="Times New Roman" w:hAnsi="Book Antiqua"/>
          <w:bCs/>
          <w:color w:val="222222"/>
          <w:lang w:eastAsia="it-IT"/>
        </w:rPr>
        <w:t xml:space="preserve"> sopra riportate si traggano indicazioni </w:t>
      </w:r>
      <w:r w:rsidR="00E23818" w:rsidRPr="00B2251F">
        <w:rPr>
          <w:rFonts w:ascii="Book Antiqua" w:eastAsia="Times New Roman" w:hAnsi="Book Antiqua"/>
          <w:bCs/>
          <w:color w:val="222222"/>
          <w:lang w:eastAsia="it-IT"/>
        </w:rPr>
        <w:t xml:space="preserve">nel complesso </w:t>
      </w:r>
      <w:r w:rsidRPr="00B2251F">
        <w:rPr>
          <w:rFonts w:ascii="Book Antiqua" w:eastAsia="Times New Roman" w:hAnsi="Book Antiqua"/>
          <w:bCs/>
          <w:color w:val="222222"/>
          <w:lang w:eastAsia="it-IT"/>
        </w:rPr>
        <w:t>piuttosto rassicuranti,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 un’analisi di maggiore dettaglio segnala sotto questo aspetto </w:t>
      </w:r>
      <w:r w:rsidR="00FA0D41">
        <w:rPr>
          <w:rFonts w:ascii="Book Antiqua" w:eastAsia="Times New Roman" w:hAnsi="Book Antiqua"/>
          <w:bCs/>
          <w:color w:val="222222"/>
          <w:lang w:eastAsia="it-IT"/>
        </w:rPr>
        <w:lastRenderedPageBreak/>
        <w:t>gravi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 difficoltà per </w:t>
      </w:r>
      <w:r w:rsidR="00045B88">
        <w:rPr>
          <w:rFonts w:ascii="Book Antiqua" w:eastAsia="Times New Roman" w:hAnsi="Book Antiqua"/>
          <w:bCs/>
          <w:color w:val="222222"/>
          <w:lang w:eastAsia="it-IT"/>
        </w:rPr>
        <w:t>almeno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 300 Comuni di minori dimensioni</w:t>
      </w:r>
      <w:r w:rsidR="00D77B4F">
        <w:rPr>
          <w:rStyle w:val="Rimandonotaapidipagina"/>
          <w:rFonts w:ascii="Book Antiqua" w:eastAsia="Times New Roman" w:hAnsi="Book Antiqua"/>
          <w:bCs/>
          <w:color w:val="222222"/>
          <w:lang w:eastAsia="it-IT"/>
        </w:rPr>
        <w:footnoteReference w:id="1"/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. </w:t>
      </w:r>
      <w:r w:rsidR="00A07EA8">
        <w:rPr>
          <w:rFonts w:ascii="Book Antiqua" w:eastAsia="Times New Roman" w:hAnsi="Book Antiqua"/>
          <w:bCs/>
          <w:color w:val="222222"/>
          <w:lang w:eastAsia="it-IT"/>
        </w:rPr>
        <w:t>Emerge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 quindi la necessità, secondo l’Anci, che il legislatore affronti adeguatamente il passaggio in questione, sia a livello nazionale che in ambito regionale, disciplinando appositi strumenti di ausilio che accompagnino i Comuni più piccoli in questa delicata fase di impatto con il nuovo saldo di finanza pubblica assegnato al comparto comunale.</w:t>
      </w:r>
    </w:p>
    <w:p w:rsidR="00051F12" w:rsidRPr="00D95659" w:rsidRDefault="00051F12" w:rsidP="00B2251F">
      <w:pPr>
        <w:shd w:val="clear" w:color="auto" w:fill="FFFFFF"/>
        <w:spacing w:after="0" w:line="240" w:lineRule="auto"/>
        <w:jc w:val="center"/>
        <w:rPr>
          <w:rFonts w:ascii="Book Antiqua" w:hAnsi="Book Antiqua"/>
          <w:sz w:val="20"/>
        </w:rPr>
      </w:pPr>
    </w:p>
    <w:p w:rsidR="000F1532" w:rsidRPr="00F02552" w:rsidRDefault="000F1532" w:rsidP="000F1532">
      <w:pPr>
        <w:shd w:val="clear" w:color="auto" w:fill="FFFFFF"/>
        <w:spacing w:after="0" w:line="273" w:lineRule="atLeast"/>
        <w:jc w:val="center"/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</w:pPr>
      <w:r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  <w:t>TABELLA 3</w:t>
      </w:r>
    </w:p>
    <w:p w:rsidR="000F1532" w:rsidRPr="000F1532" w:rsidRDefault="000F1532" w:rsidP="000F153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bCs/>
          <w:caps/>
          <w:color w:val="222222"/>
          <w:sz w:val="16"/>
          <w:lang w:eastAsia="it-IT"/>
        </w:rPr>
      </w:pPr>
      <w:r w:rsidRPr="000F1532">
        <w:rPr>
          <w:rFonts w:ascii="Arial Narrow" w:eastAsia="Times New Roman" w:hAnsi="Arial Narrow"/>
          <w:bCs/>
          <w:caps/>
          <w:color w:val="222222"/>
          <w:sz w:val="16"/>
          <w:lang w:eastAsia="it-IT"/>
        </w:rPr>
        <w:t>applicazione dei saldi ex legge n. 243</w:t>
      </w:r>
      <w:r>
        <w:rPr>
          <w:rFonts w:ascii="Arial Narrow" w:eastAsia="Times New Roman" w:hAnsi="Arial Narrow"/>
          <w:bCs/>
          <w:caps/>
          <w:color w:val="222222"/>
          <w:sz w:val="16"/>
          <w:lang w:eastAsia="it-IT"/>
        </w:rPr>
        <w:t xml:space="preserve"> </w:t>
      </w:r>
      <w:r w:rsidRPr="000F1532">
        <w:rPr>
          <w:rFonts w:ascii="Arial Narrow" w:eastAsia="Times New Roman" w:hAnsi="Arial Narrow"/>
          <w:bCs/>
          <w:caps/>
          <w:color w:val="222222"/>
          <w:sz w:val="16"/>
          <w:lang w:eastAsia="it-IT"/>
        </w:rPr>
        <w:t>del 2012 ai comuni fino a 1.000 abitanti</w:t>
      </w:r>
      <w:r w:rsidR="009D2A23">
        <w:rPr>
          <w:rFonts w:ascii="Arial Narrow" w:eastAsia="Times New Roman" w:hAnsi="Arial Narrow"/>
          <w:bCs/>
          <w:caps/>
          <w:color w:val="222222"/>
          <w:sz w:val="16"/>
          <w:lang w:eastAsia="it-IT"/>
        </w:rPr>
        <w:t xml:space="preserve"> nell’anno 2014</w:t>
      </w:r>
    </w:p>
    <w:p w:rsidR="000F1532" w:rsidRPr="00454F3A" w:rsidRDefault="000F1532" w:rsidP="000F153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bCs/>
          <w:color w:val="222222"/>
          <w:sz w:val="16"/>
          <w:lang w:eastAsia="it-IT"/>
        </w:rPr>
      </w:pPr>
      <w:r>
        <w:rPr>
          <w:rFonts w:ascii="Arial Narrow" w:eastAsia="Times New Roman" w:hAnsi="Arial Narrow"/>
          <w:bCs/>
          <w:color w:val="222222"/>
          <w:sz w:val="16"/>
          <w:lang w:eastAsia="it-IT"/>
        </w:rPr>
        <w:t>Valori assoluti e percentuali – Distribuzione per indici costruiti sulle entrate di riferimento</w:t>
      </w:r>
    </w:p>
    <w:p w:rsidR="000F1532" w:rsidRPr="00454F3A" w:rsidRDefault="000F1532" w:rsidP="000F153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bCs/>
          <w:smallCaps/>
          <w:color w:val="222222"/>
          <w:sz w:val="16"/>
          <w:lang w:eastAsia="it-IT"/>
        </w:rPr>
      </w:pPr>
    </w:p>
    <w:p w:rsidR="00051F12" w:rsidRDefault="000C53A0" w:rsidP="00083F4E">
      <w:pPr>
        <w:shd w:val="clear" w:color="auto" w:fill="FFFFFF"/>
        <w:spacing w:after="0" w:line="273" w:lineRule="atLeast"/>
        <w:jc w:val="center"/>
        <w:rPr>
          <w:rFonts w:ascii="Book Antiqua" w:eastAsia="Times New Roman" w:hAnsi="Book Antiqua"/>
          <w:b/>
          <w:bCs/>
          <w:smallCaps/>
          <w:color w:val="222222"/>
          <w:sz w:val="20"/>
          <w:lang w:eastAsia="it-IT"/>
        </w:rPr>
      </w:pPr>
      <w:r w:rsidRPr="000C53A0">
        <w:rPr>
          <w:noProof/>
          <w:lang w:eastAsia="it-IT"/>
        </w:rPr>
        <w:drawing>
          <wp:inline distT="0" distB="0" distL="0" distR="0" wp14:anchorId="3F6C3801" wp14:editId="35AD6012">
            <wp:extent cx="5362575" cy="54673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136" cy="54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532" w:rsidRDefault="000F1532" w:rsidP="00764300">
      <w:pPr>
        <w:shd w:val="clear" w:color="auto" w:fill="FFFFFF"/>
        <w:spacing w:before="40" w:after="0" w:line="240" w:lineRule="auto"/>
        <w:jc w:val="center"/>
        <w:rPr>
          <w:rFonts w:ascii="Arial Narrow" w:hAnsi="Arial Narrow"/>
          <w:sz w:val="16"/>
        </w:rPr>
      </w:pPr>
      <w:r w:rsidRPr="00ED1B14">
        <w:rPr>
          <w:rFonts w:ascii="Arial Narrow" w:hAnsi="Arial Narrow"/>
          <w:sz w:val="16"/>
        </w:rPr>
        <w:t xml:space="preserve">Fonte: IFEL su dati </w:t>
      </w:r>
      <w:r w:rsidR="00093B56">
        <w:rPr>
          <w:rFonts w:ascii="Arial Narrow" w:hAnsi="Arial Narrow"/>
          <w:sz w:val="16"/>
        </w:rPr>
        <w:t>CCC</w:t>
      </w:r>
      <w:r>
        <w:rPr>
          <w:rFonts w:ascii="Arial Narrow" w:hAnsi="Arial Narrow"/>
          <w:sz w:val="16"/>
        </w:rPr>
        <w:t xml:space="preserve"> </w:t>
      </w:r>
      <w:r w:rsidRPr="00ED1B14">
        <w:rPr>
          <w:rFonts w:ascii="Arial Narrow" w:hAnsi="Arial Narrow"/>
          <w:sz w:val="16"/>
        </w:rPr>
        <w:t>2014 (Campione: 1.486 su 1.994 Comuni con popolazione fino a 1.000 ab. al 31.12.2014)</w:t>
      </w:r>
    </w:p>
    <w:p w:rsidR="00E23818" w:rsidRDefault="00BA6C64" w:rsidP="00E23818">
      <w:pPr>
        <w:shd w:val="clear" w:color="auto" w:fill="FFFFFF"/>
        <w:tabs>
          <w:tab w:val="num" w:pos="720"/>
        </w:tabs>
        <w:spacing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>
        <w:rPr>
          <w:rFonts w:ascii="Book Antiqua" w:eastAsia="Times New Roman" w:hAnsi="Book Antiqua"/>
          <w:bCs/>
          <w:color w:val="222222"/>
          <w:lang w:eastAsia="it-IT"/>
        </w:rPr>
        <w:lastRenderedPageBreak/>
        <w:t>Tali</w:t>
      </w:r>
      <w:r w:rsidR="00E23818">
        <w:rPr>
          <w:rFonts w:ascii="Book Antiqua" w:eastAsia="Times New Roman" w:hAnsi="Book Antiqua"/>
          <w:bCs/>
          <w:color w:val="222222"/>
          <w:lang w:eastAsia="it-IT"/>
        </w:rPr>
        <w:t xml:space="preserve"> forme di sostegno dovrebbero essere </w:t>
      </w:r>
      <w:r w:rsidR="004958AE">
        <w:rPr>
          <w:rFonts w:ascii="Book Antiqua" w:eastAsia="Times New Roman" w:hAnsi="Book Antiqua"/>
          <w:bCs/>
          <w:color w:val="222222"/>
          <w:lang w:eastAsia="it-IT"/>
        </w:rPr>
        <w:t xml:space="preserve">opportunamente </w:t>
      </w:r>
      <w:r w:rsidR="00E23818">
        <w:rPr>
          <w:rFonts w:ascii="Book Antiqua" w:eastAsia="Times New Roman" w:hAnsi="Book Antiqua"/>
          <w:bCs/>
          <w:color w:val="222222"/>
          <w:lang w:eastAsia="it-IT"/>
        </w:rPr>
        <w:t>estese ai Comuni nati da fusione a partire dal 2011, anch’essi finora esclusi dai vincoli del Patto di stabilità interno, non solo come premio per il percorso di innovazione istituzionale intrapreso</w:t>
      </w:r>
      <w:r>
        <w:rPr>
          <w:rFonts w:ascii="Book Antiqua" w:eastAsia="Times New Roman" w:hAnsi="Book Antiqua"/>
          <w:bCs/>
          <w:color w:val="222222"/>
          <w:lang w:eastAsia="it-IT"/>
        </w:rPr>
        <w:t>,</w:t>
      </w:r>
      <w:r w:rsidR="00E23818">
        <w:rPr>
          <w:rFonts w:ascii="Book Antiqua" w:eastAsia="Times New Roman" w:hAnsi="Book Antiqua"/>
          <w:bCs/>
          <w:color w:val="222222"/>
          <w:lang w:eastAsia="it-IT"/>
        </w:rPr>
        <w:t xml:space="preserve"> ma soprattutto in ragione dei maggiori costi che tale scelta inevitabilmente comporta </w:t>
      </w:r>
      <w:r w:rsidR="00664171">
        <w:rPr>
          <w:rFonts w:ascii="Book Antiqua" w:eastAsia="Times New Roman" w:hAnsi="Book Antiqua"/>
          <w:bCs/>
          <w:color w:val="222222"/>
          <w:lang w:eastAsia="it-IT"/>
        </w:rPr>
        <w:t>nel medio</w:t>
      </w:r>
      <w:r w:rsidR="00E23818">
        <w:rPr>
          <w:rFonts w:ascii="Book Antiqua" w:eastAsia="Times New Roman" w:hAnsi="Book Antiqua"/>
          <w:bCs/>
          <w:color w:val="222222"/>
          <w:lang w:eastAsia="it-IT"/>
        </w:rPr>
        <w:t xml:space="preserve"> periodo.</w:t>
      </w:r>
    </w:p>
    <w:p w:rsidR="00E23818" w:rsidRPr="00E23818" w:rsidRDefault="00E23818" w:rsidP="00E23818">
      <w:pPr>
        <w:shd w:val="clear" w:color="auto" w:fill="FFFFFF"/>
        <w:tabs>
          <w:tab w:val="num" w:pos="720"/>
        </w:tabs>
        <w:spacing w:after="0" w:line="240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</w:p>
    <w:p w:rsidR="009D2A23" w:rsidRPr="00031245" w:rsidRDefault="007B56A8" w:rsidP="009D2A23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76" w:lineRule="auto"/>
        <w:ind w:left="0" w:firstLine="0"/>
        <w:jc w:val="both"/>
        <w:rPr>
          <w:rFonts w:ascii="Book Antiqua" w:eastAsia="Times New Roman" w:hAnsi="Book Antiqua"/>
          <w:b/>
          <w:bCs/>
          <w:i/>
          <w:color w:val="4F81BD" w:themeColor="accent1"/>
          <w:lang w:eastAsia="it-IT"/>
        </w:rPr>
      </w:pPr>
      <w:r>
        <w:rPr>
          <w:rFonts w:ascii="Book Antiqua" w:eastAsia="Times New Roman" w:hAnsi="Book Antiqua"/>
          <w:b/>
          <w:bCs/>
          <w:i/>
          <w:color w:val="4F81BD" w:themeColor="accent1"/>
          <w:lang w:eastAsia="it-IT"/>
        </w:rPr>
        <w:t xml:space="preserve">Gli emendamenti </w:t>
      </w:r>
      <w:r w:rsidR="00205A3D">
        <w:rPr>
          <w:rFonts w:ascii="Book Antiqua" w:eastAsia="Times New Roman" w:hAnsi="Book Antiqua"/>
          <w:b/>
          <w:bCs/>
          <w:i/>
          <w:color w:val="4F81BD" w:themeColor="accent1"/>
          <w:lang w:eastAsia="it-IT"/>
        </w:rPr>
        <w:t>proposti</w:t>
      </w:r>
      <w:r>
        <w:rPr>
          <w:rFonts w:ascii="Book Antiqua" w:eastAsia="Times New Roman" w:hAnsi="Book Antiqua"/>
          <w:b/>
          <w:bCs/>
          <w:i/>
          <w:color w:val="4F81BD" w:themeColor="accent1"/>
          <w:lang w:eastAsia="it-IT"/>
        </w:rPr>
        <w:t xml:space="preserve"> dall’Anci</w:t>
      </w:r>
    </w:p>
    <w:p w:rsidR="000A3BFA" w:rsidRDefault="000A3BFA" w:rsidP="00203F51">
      <w:pPr>
        <w:shd w:val="clear" w:color="auto" w:fill="FFFFFF"/>
        <w:tabs>
          <w:tab w:val="num" w:pos="720"/>
        </w:tabs>
        <w:spacing w:before="60"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>
        <w:rPr>
          <w:rFonts w:ascii="Book Antiqua" w:eastAsia="Times New Roman" w:hAnsi="Book Antiqua"/>
          <w:bCs/>
          <w:color w:val="222222"/>
          <w:lang w:eastAsia="it-IT"/>
        </w:rPr>
        <w:t>Con l’obiettivo di porre rimedio alle principali criticità esaminate, l’Anci ha presentato alcune proposte emendative in Parlamento, sottoponendo le medesime all’attenzione del Governo in sede di confronto istituzionale.</w:t>
      </w:r>
    </w:p>
    <w:p w:rsidR="007B56A8" w:rsidRPr="00E666D3" w:rsidRDefault="007B56A8" w:rsidP="000A3BFA">
      <w:pPr>
        <w:shd w:val="clear" w:color="auto" w:fill="FFFFFF"/>
        <w:tabs>
          <w:tab w:val="num" w:pos="720"/>
        </w:tabs>
        <w:spacing w:before="120"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>
        <w:rPr>
          <w:rFonts w:ascii="Book Antiqua" w:eastAsia="Times New Roman" w:hAnsi="Book Antiqua"/>
          <w:bCs/>
          <w:color w:val="222222"/>
          <w:lang w:eastAsia="it-IT"/>
        </w:rPr>
        <w:t xml:space="preserve">Un primo emendamento </w:t>
      </w:r>
      <w:r w:rsidR="00E666D3">
        <w:rPr>
          <w:rFonts w:ascii="Book Antiqua" w:eastAsia="Times New Roman" w:hAnsi="Book Antiqua"/>
          <w:bCs/>
          <w:color w:val="222222"/>
          <w:lang w:eastAsia="it-IT"/>
        </w:rPr>
        <w:t>propone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 una riserva finanziaria in favore degli enti che fino all’esercizio 2015 </w:t>
      </w:r>
      <w:r w:rsidR="00376208">
        <w:rPr>
          <w:rFonts w:ascii="Book Antiqua" w:eastAsia="Times New Roman" w:hAnsi="Book Antiqua"/>
          <w:bCs/>
          <w:color w:val="222222"/>
          <w:lang w:eastAsia="it-IT"/>
        </w:rPr>
        <w:t>sono stati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 esclusi dal Patto di stabilità interno, 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>ovvero C</w:t>
      </w:r>
      <w:r w:rsidR="00654F0E" w:rsidRPr="00E666D3">
        <w:rPr>
          <w:rFonts w:ascii="Book Antiqua" w:eastAsia="Times New Roman" w:hAnsi="Book Antiqua"/>
          <w:bCs/>
          <w:color w:val="222222"/>
          <w:lang w:eastAsia="it-IT"/>
        </w:rPr>
        <w:t>omu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>ni fino a mille abitanti e C</w:t>
      </w:r>
      <w:r w:rsidR="00654F0E" w:rsidRPr="00E666D3">
        <w:rPr>
          <w:rFonts w:ascii="Book Antiqua" w:eastAsia="Times New Roman" w:hAnsi="Book Antiqua"/>
          <w:bCs/>
          <w:color w:val="222222"/>
          <w:lang w:eastAsia="it-IT"/>
        </w:rPr>
        <w:t>omuni nati da fusione a partire dall’anno 2011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 xml:space="preserve">. </w:t>
      </w:r>
      <w:r w:rsidR="00E666D3">
        <w:rPr>
          <w:rFonts w:ascii="Book Antiqua" w:eastAsia="Times New Roman" w:hAnsi="Book Antiqua"/>
          <w:bCs/>
          <w:color w:val="222222"/>
          <w:lang w:eastAsia="it-IT"/>
        </w:rPr>
        <w:t>In particolare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, 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 xml:space="preserve">si prevede </w:t>
      </w:r>
      <w:r w:rsidR="006958D1">
        <w:rPr>
          <w:rFonts w:ascii="Book Antiqua" w:eastAsia="Times New Roman" w:hAnsi="Book Antiqua"/>
          <w:bCs/>
          <w:color w:val="222222"/>
          <w:lang w:eastAsia="it-IT"/>
        </w:rPr>
        <w:t xml:space="preserve">solo per l’anno 2016 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>che</w:t>
      </w:r>
      <w:r w:rsidR="00E666D3">
        <w:rPr>
          <w:rFonts w:ascii="Book Antiqua" w:eastAsia="Times New Roman" w:hAnsi="Book Antiqua"/>
          <w:bCs/>
          <w:color w:val="222222"/>
          <w:lang w:eastAsia="it-IT"/>
        </w:rPr>
        <w:t xml:space="preserve"> nel saldo di finanza pubblica assegnato al comparto comunale non siano </w:t>
      </w:r>
      <w:r w:rsidR="00E666D3" w:rsidRPr="00E666D3">
        <w:rPr>
          <w:rFonts w:ascii="Book Antiqua" w:eastAsia="Times New Roman" w:hAnsi="Book Antiqua"/>
          <w:bCs/>
          <w:color w:val="222222"/>
          <w:lang w:eastAsia="it-IT"/>
        </w:rPr>
        <w:t>considerate</w:t>
      </w:r>
      <w:r w:rsidR="00E666D3">
        <w:rPr>
          <w:rFonts w:ascii="Book Antiqua" w:eastAsia="Times New Roman" w:hAnsi="Book Antiqua"/>
          <w:bCs/>
          <w:color w:val="222222"/>
          <w:lang w:eastAsia="it-IT"/>
        </w:rPr>
        <w:t xml:space="preserve">, </w:t>
      </w:r>
      <w:r w:rsidR="00E666D3" w:rsidRPr="00E666D3">
        <w:rPr>
          <w:rFonts w:ascii="Book Antiqua" w:eastAsia="Times New Roman" w:hAnsi="Book Antiqua"/>
          <w:bCs/>
          <w:color w:val="222222"/>
          <w:lang w:eastAsia="it-IT"/>
        </w:rPr>
        <w:t>per un limite massimo di 100 milioni</w:t>
      </w:r>
      <w:r w:rsidR="00E666D3">
        <w:rPr>
          <w:rFonts w:ascii="Book Antiqua" w:eastAsia="Times New Roman" w:hAnsi="Book Antiqua"/>
          <w:bCs/>
          <w:color w:val="222222"/>
          <w:lang w:eastAsia="it-IT"/>
        </w:rPr>
        <w:t xml:space="preserve">, le spese </w:t>
      </w:r>
      <w:r w:rsidR="0053090F">
        <w:rPr>
          <w:rFonts w:ascii="Book Antiqua" w:eastAsia="Times New Roman" w:hAnsi="Book Antiqua"/>
          <w:bCs/>
          <w:color w:val="222222"/>
          <w:lang w:eastAsia="it-IT"/>
        </w:rPr>
        <w:t>effettuate</w:t>
      </w:r>
      <w:r w:rsidR="00E666D3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 xml:space="preserve">dalle due tipologie di Comune </w:t>
      </w:r>
      <w:r w:rsidR="00420124">
        <w:rPr>
          <w:rFonts w:ascii="Book Antiqua" w:eastAsia="Times New Roman" w:hAnsi="Book Antiqua"/>
          <w:bCs/>
          <w:color w:val="222222"/>
          <w:lang w:eastAsia="it-IT"/>
        </w:rPr>
        <w:t>tenute</w:t>
      </w:r>
      <w:r w:rsidR="0053090F">
        <w:rPr>
          <w:rFonts w:ascii="Book Antiqua" w:eastAsia="Times New Roman" w:hAnsi="Book Antiqua"/>
          <w:bCs/>
          <w:color w:val="222222"/>
          <w:lang w:eastAsia="it-IT"/>
        </w:rPr>
        <w:t xml:space="preserve"> in considerazione</w:t>
      </w:r>
      <w:r w:rsidR="00E666D3">
        <w:rPr>
          <w:rFonts w:ascii="Book Antiqua" w:eastAsia="Times New Roman" w:hAnsi="Book Antiqua"/>
          <w:bCs/>
          <w:color w:val="222222"/>
          <w:lang w:eastAsia="it-IT"/>
        </w:rPr>
        <w:t>. Tale riserva verrebbe finanziata</w:t>
      </w:r>
      <w:r w:rsidR="00E666D3" w:rsidRPr="00E666D3">
        <w:rPr>
          <w:rFonts w:ascii="Book Antiqua" w:eastAsia="Times New Roman" w:hAnsi="Book Antiqua"/>
          <w:bCs/>
          <w:color w:val="222222"/>
          <w:lang w:eastAsia="it-IT"/>
        </w:rPr>
        <w:t xml:space="preserve"> dal </w:t>
      </w:r>
      <w:r w:rsidR="00E666D3" w:rsidRPr="00654F0E">
        <w:rPr>
          <w:rFonts w:ascii="Book Antiqua" w:eastAsia="Times New Roman" w:hAnsi="Book Antiqua"/>
          <w:bCs/>
          <w:i/>
          <w:color w:val="222222"/>
          <w:lang w:eastAsia="it-IT"/>
        </w:rPr>
        <w:t>plafond</w:t>
      </w:r>
      <w:r w:rsidR="00E666D3">
        <w:rPr>
          <w:rFonts w:ascii="Book Antiqua" w:eastAsia="Times New Roman" w:hAnsi="Book Antiqua"/>
          <w:bCs/>
          <w:color w:val="222222"/>
          <w:lang w:eastAsia="it-IT"/>
        </w:rPr>
        <w:t xml:space="preserve"> che il DDL Stabilità 2016 già destina alle spese per edilizia scolastica sostenute dagli enti locali, non comportando quindi oneri aggiuntivi per la finanza pubblica.</w:t>
      </w:r>
      <w:r w:rsidR="00734629">
        <w:rPr>
          <w:rFonts w:ascii="Book Antiqua" w:eastAsia="Times New Roman" w:hAnsi="Book Antiqua"/>
          <w:bCs/>
          <w:color w:val="222222"/>
          <w:lang w:eastAsia="it-IT"/>
        </w:rPr>
        <w:t xml:space="preserve"> Al fine di</w:t>
      </w:r>
      <w:r w:rsidR="00734629" w:rsidRPr="00654F0E">
        <w:rPr>
          <w:rFonts w:ascii="Book Antiqua" w:eastAsia="Times New Roman" w:hAnsi="Book Antiqua"/>
          <w:bCs/>
          <w:color w:val="222222"/>
          <w:lang w:eastAsia="it-IT"/>
        </w:rPr>
        <w:t xml:space="preserve"> incentivare un effettivo utilizzo degli spazi </w:t>
      </w:r>
      <w:r w:rsidR="00734629">
        <w:rPr>
          <w:rFonts w:ascii="Book Antiqua" w:eastAsia="Times New Roman" w:hAnsi="Book Antiqua"/>
          <w:bCs/>
          <w:color w:val="222222"/>
          <w:lang w:eastAsia="it-IT"/>
        </w:rPr>
        <w:t>concessi</w:t>
      </w:r>
      <w:r w:rsidR="00734629" w:rsidRPr="00654F0E">
        <w:rPr>
          <w:rFonts w:ascii="Book Antiqua" w:eastAsia="Times New Roman" w:hAnsi="Book Antiqua"/>
          <w:bCs/>
          <w:color w:val="222222"/>
          <w:lang w:eastAsia="it-IT"/>
        </w:rPr>
        <w:t xml:space="preserve"> l’emendamento </w:t>
      </w:r>
      <w:r w:rsidR="00CC3C71">
        <w:rPr>
          <w:rFonts w:ascii="Book Antiqua" w:eastAsia="Times New Roman" w:hAnsi="Book Antiqua"/>
          <w:bCs/>
          <w:color w:val="222222"/>
          <w:lang w:eastAsia="it-IT"/>
        </w:rPr>
        <w:t>disciplina</w:t>
      </w:r>
      <w:r w:rsidR="00734629" w:rsidRPr="00654F0E">
        <w:rPr>
          <w:rFonts w:ascii="Book Antiqua" w:eastAsia="Times New Roman" w:hAnsi="Book Antiqua"/>
          <w:bCs/>
          <w:color w:val="222222"/>
          <w:lang w:eastAsia="it-IT"/>
        </w:rPr>
        <w:t xml:space="preserve">, contestualmente, un meccanismo sanzionatorio qualora l’ente beneficiario non utilizzi nell’anno di riferimento gli spazi </w:t>
      </w:r>
      <w:r w:rsidR="0053090F">
        <w:rPr>
          <w:rFonts w:ascii="Book Antiqua" w:eastAsia="Times New Roman" w:hAnsi="Book Antiqua"/>
          <w:bCs/>
          <w:color w:val="222222"/>
          <w:lang w:eastAsia="it-IT"/>
        </w:rPr>
        <w:t xml:space="preserve">finanziari </w:t>
      </w:r>
      <w:r w:rsidR="00A53FBB">
        <w:rPr>
          <w:rFonts w:ascii="Book Antiqua" w:eastAsia="Times New Roman" w:hAnsi="Book Antiqua"/>
          <w:bCs/>
          <w:color w:val="222222"/>
          <w:lang w:eastAsia="it-IT"/>
        </w:rPr>
        <w:t>ricevuti</w:t>
      </w:r>
      <w:r w:rsidR="00734629">
        <w:rPr>
          <w:rFonts w:ascii="Book Antiqua" w:eastAsia="Times New Roman" w:hAnsi="Book Antiqua"/>
          <w:bCs/>
          <w:color w:val="222222"/>
          <w:lang w:eastAsia="it-IT"/>
        </w:rPr>
        <w:t>.</w:t>
      </w:r>
      <w:r w:rsidR="003578D3">
        <w:rPr>
          <w:rFonts w:ascii="Book Antiqua" w:eastAsia="Times New Roman" w:hAnsi="Book Antiqua"/>
          <w:bCs/>
          <w:color w:val="222222"/>
          <w:lang w:eastAsia="it-IT"/>
        </w:rPr>
        <w:t xml:space="preserve"> Purtroppo, allo stato attuale dei lavori parlamentari, i fondi in questione sembrano essere stati destinati per altri scopi.</w:t>
      </w:r>
    </w:p>
    <w:p w:rsidR="00E666D3" w:rsidRDefault="003578D3" w:rsidP="00734629">
      <w:pPr>
        <w:shd w:val="clear" w:color="auto" w:fill="FFFFFF"/>
        <w:tabs>
          <w:tab w:val="num" w:pos="720"/>
        </w:tabs>
        <w:spacing w:before="120"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>
        <w:rPr>
          <w:rFonts w:ascii="Book Antiqua" w:eastAsia="Times New Roman" w:hAnsi="Book Antiqua"/>
          <w:bCs/>
          <w:color w:val="222222"/>
          <w:lang w:eastAsia="it-IT"/>
        </w:rPr>
        <w:t>U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>n</w:t>
      </w:r>
      <w:r>
        <w:rPr>
          <w:rFonts w:ascii="Book Antiqua" w:eastAsia="Times New Roman" w:hAnsi="Book Antiqua"/>
          <w:bCs/>
          <w:color w:val="222222"/>
          <w:lang w:eastAsia="it-IT"/>
        </w:rPr>
        <w:t>a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 xml:space="preserve"> second</w:t>
      </w:r>
      <w:r>
        <w:rPr>
          <w:rFonts w:ascii="Book Antiqua" w:eastAsia="Times New Roman" w:hAnsi="Book Antiqua"/>
          <w:bCs/>
          <w:color w:val="222222"/>
          <w:lang w:eastAsia="it-IT"/>
        </w:rPr>
        <w:t>a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proposta, che risulta invece inserita nel testo di legge, </w:t>
      </w:r>
      <w:r w:rsidR="00CC3C71">
        <w:rPr>
          <w:rFonts w:ascii="Book Antiqua" w:eastAsia="Times New Roman" w:hAnsi="Book Antiqua"/>
          <w:bCs/>
          <w:color w:val="222222"/>
          <w:lang w:eastAsia="it-IT"/>
        </w:rPr>
        <w:t>prevede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 xml:space="preserve"> che</w:t>
      </w:r>
      <w:r w:rsidR="006958D1">
        <w:rPr>
          <w:rFonts w:ascii="Book Antiqua" w:eastAsia="Times New Roman" w:hAnsi="Book Antiqua"/>
          <w:bCs/>
          <w:color w:val="222222"/>
          <w:lang w:eastAsia="it-IT"/>
        </w:rPr>
        <w:t>,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9D2A92">
        <w:rPr>
          <w:rFonts w:ascii="Book Antiqua" w:eastAsia="Times New Roman" w:hAnsi="Book Antiqua"/>
          <w:bCs/>
          <w:color w:val="222222"/>
          <w:lang w:eastAsia="it-IT"/>
        </w:rPr>
        <w:t>in</w:t>
      </w:r>
      <w:r w:rsidR="00654F0E">
        <w:rPr>
          <w:rFonts w:ascii="Book Antiqua" w:eastAsia="Times New Roman" w:hAnsi="Book Antiqua"/>
          <w:bCs/>
          <w:color w:val="222222"/>
          <w:lang w:eastAsia="it-IT"/>
        </w:rPr>
        <w:t xml:space="preserve"> fase di regionalizzazione del saldo di finanza pubblica, la quota di spazi finanziari </w:t>
      </w:r>
      <w:r w:rsidR="00654F0E" w:rsidRPr="00654F0E">
        <w:rPr>
          <w:rFonts w:ascii="Book Antiqua" w:eastAsia="Times New Roman" w:hAnsi="Book Antiqua"/>
          <w:bCs/>
          <w:color w:val="222222"/>
          <w:lang w:eastAsia="it-IT"/>
        </w:rPr>
        <w:t>da non re</w:t>
      </w:r>
      <w:r w:rsidR="006958D1">
        <w:rPr>
          <w:rFonts w:ascii="Book Antiqua" w:eastAsia="Times New Roman" w:hAnsi="Book Antiqua"/>
          <w:bCs/>
          <w:color w:val="222222"/>
          <w:lang w:eastAsia="it-IT"/>
        </w:rPr>
        <w:t xml:space="preserve">cuperare nel biennio successivo – eventualmente </w:t>
      </w:r>
      <w:r w:rsidR="003B7F9A">
        <w:rPr>
          <w:rFonts w:ascii="Book Antiqua" w:eastAsia="Times New Roman" w:hAnsi="Book Antiqua"/>
          <w:bCs/>
          <w:color w:val="222222"/>
          <w:lang w:eastAsia="it-IT"/>
        </w:rPr>
        <w:t xml:space="preserve">concessi </w:t>
      </w:r>
      <w:r w:rsidR="006958D1">
        <w:rPr>
          <w:rFonts w:ascii="Book Antiqua" w:eastAsia="Times New Roman" w:hAnsi="Book Antiqua"/>
          <w:bCs/>
          <w:color w:val="222222"/>
          <w:lang w:eastAsia="it-IT"/>
        </w:rPr>
        <w:t xml:space="preserve">dalla Regione </w:t>
      </w:r>
      <w:r>
        <w:rPr>
          <w:rFonts w:ascii="Book Antiqua" w:eastAsia="Times New Roman" w:hAnsi="Book Antiqua"/>
          <w:bCs/>
          <w:color w:val="222222"/>
          <w:lang w:eastAsia="it-IT"/>
        </w:rPr>
        <w:softHyphen/>
        <w:t xml:space="preserve">– </w:t>
      </w:r>
      <w:r w:rsidR="006958D1">
        <w:rPr>
          <w:rFonts w:ascii="Book Antiqua" w:eastAsia="Times New Roman" w:hAnsi="Book Antiqua"/>
          <w:bCs/>
          <w:color w:val="222222"/>
          <w:lang w:eastAsia="it-IT"/>
        </w:rPr>
        <w:t>sia distribuita</w:t>
      </w:r>
      <w:r w:rsidR="00654F0E" w:rsidRPr="00654F0E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9D2A92">
        <w:rPr>
          <w:rFonts w:ascii="Book Antiqua" w:eastAsia="Times New Roman" w:hAnsi="Book Antiqua"/>
          <w:bCs/>
          <w:color w:val="222222"/>
          <w:lang w:eastAsia="it-IT"/>
        </w:rPr>
        <w:t xml:space="preserve">tenendo prioritariamente conto delle istanze avanzate dai Comuni minori e da quelli recentemente istituiti </w:t>
      </w:r>
      <w:r w:rsidR="00B75CFD">
        <w:rPr>
          <w:rFonts w:ascii="Book Antiqua" w:eastAsia="Times New Roman" w:hAnsi="Book Antiqua"/>
          <w:bCs/>
          <w:color w:val="222222"/>
          <w:lang w:eastAsia="it-IT"/>
        </w:rPr>
        <w:t>tramite</w:t>
      </w:r>
      <w:r w:rsidR="009D2A92">
        <w:rPr>
          <w:rFonts w:ascii="Book Antiqua" w:eastAsia="Times New Roman" w:hAnsi="Book Antiqua"/>
          <w:bCs/>
          <w:color w:val="222222"/>
          <w:lang w:eastAsia="it-IT"/>
        </w:rPr>
        <w:t xml:space="preserve"> fusione amministrativa.</w:t>
      </w:r>
      <w:r w:rsidR="00654F0E" w:rsidRPr="00654F0E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9D2A92">
        <w:rPr>
          <w:rFonts w:ascii="Book Antiqua" w:eastAsia="Times New Roman" w:hAnsi="Book Antiqua"/>
          <w:bCs/>
          <w:color w:val="222222"/>
          <w:lang w:eastAsia="it-IT"/>
        </w:rPr>
        <w:t xml:space="preserve">Dal momento che la presenza di tali enti risulta fortemente disomogenea lungo il territorio nazionale, l’emendamento esclude la previsione </w:t>
      </w:r>
      <w:r w:rsidR="009D2A92" w:rsidRPr="009D2A92">
        <w:rPr>
          <w:rFonts w:ascii="Book Antiqua" w:eastAsia="Times New Roman" w:hAnsi="Book Antiqua"/>
          <w:bCs/>
          <w:i/>
          <w:color w:val="222222"/>
          <w:lang w:eastAsia="it-IT"/>
        </w:rPr>
        <w:t>ex ante</w:t>
      </w:r>
      <w:r w:rsidR="009D2A92">
        <w:rPr>
          <w:rFonts w:ascii="Book Antiqua" w:eastAsia="Times New Roman" w:hAnsi="Book Antiqua"/>
          <w:bCs/>
          <w:color w:val="222222"/>
          <w:lang w:eastAsia="it-IT"/>
        </w:rPr>
        <w:t xml:space="preserve"> di parametri </w:t>
      </w:r>
      <w:r w:rsidR="00734629">
        <w:rPr>
          <w:rFonts w:ascii="Book Antiqua" w:eastAsia="Times New Roman" w:hAnsi="Book Antiqua"/>
          <w:bCs/>
          <w:color w:val="222222"/>
          <w:lang w:eastAsia="it-IT"/>
        </w:rPr>
        <w:t>rispetto</w:t>
      </w:r>
      <w:r w:rsidR="009D2A92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D636DF">
        <w:rPr>
          <w:rFonts w:ascii="Book Antiqua" w:eastAsia="Times New Roman" w:hAnsi="Book Antiqua"/>
          <w:bCs/>
          <w:color w:val="222222"/>
          <w:lang w:eastAsia="it-IT"/>
        </w:rPr>
        <w:t>ai</w:t>
      </w:r>
      <w:r w:rsidR="009D2A92">
        <w:rPr>
          <w:rFonts w:ascii="Book Antiqua" w:eastAsia="Times New Roman" w:hAnsi="Book Antiqua"/>
          <w:bCs/>
          <w:color w:val="222222"/>
          <w:lang w:eastAsia="it-IT"/>
        </w:rPr>
        <w:t xml:space="preserve"> quali </w:t>
      </w:r>
      <w:r w:rsidR="00734629">
        <w:rPr>
          <w:rFonts w:ascii="Book Antiqua" w:eastAsia="Times New Roman" w:hAnsi="Book Antiqua"/>
          <w:bCs/>
          <w:color w:val="222222"/>
          <w:lang w:eastAsia="it-IT"/>
        </w:rPr>
        <w:t xml:space="preserve">operare </w:t>
      </w:r>
      <w:r w:rsidR="001E518E">
        <w:rPr>
          <w:rFonts w:ascii="Book Antiqua" w:eastAsia="Times New Roman" w:hAnsi="Book Antiqua"/>
          <w:bCs/>
          <w:color w:val="222222"/>
          <w:lang w:eastAsia="it-IT"/>
        </w:rPr>
        <w:t xml:space="preserve">tale distribuzione, </w:t>
      </w:r>
      <w:r w:rsidR="00734629">
        <w:rPr>
          <w:rFonts w:ascii="Book Antiqua" w:eastAsia="Times New Roman" w:hAnsi="Book Antiqua"/>
          <w:bCs/>
          <w:color w:val="222222"/>
          <w:lang w:eastAsia="it-IT"/>
        </w:rPr>
        <w:t>lasciando pertanto un opportuno margine di autonomia alla concertazione territoriale</w:t>
      </w:r>
      <w:r w:rsidR="00654F0E" w:rsidRPr="00654F0E">
        <w:rPr>
          <w:rFonts w:ascii="Book Antiqua" w:eastAsia="Times New Roman" w:hAnsi="Book Antiqua"/>
          <w:bCs/>
          <w:color w:val="222222"/>
          <w:lang w:eastAsia="it-IT"/>
        </w:rPr>
        <w:t xml:space="preserve">. </w:t>
      </w:r>
      <w:r w:rsidR="006958D1">
        <w:rPr>
          <w:rFonts w:ascii="Book Antiqua" w:eastAsia="Times New Roman" w:hAnsi="Book Antiqua"/>
          <w:bCs/>
          <w:color w:val="222222"/>
          <w:lang w:eastAsia="it-IT"/>
        </w:rPr>
        <w:t>Anche in tal caso la norma proposta</w:t>
      </w:r>
      <w:r w:rsidR="006958D1" w:rsidRPr="00654F0E">
        <w:rPr>
          <w:rFonts w:ascii="Book Antiqua" w:eastAsia="Times New Roman" w:hAnsi="Book Antiqua"/>
          <w:bCs/>
          <w:color w:val="222222"/>
          <w:lang w:eastAsia="it-IT"/>
        </w:rPr>
        <w:t xml:space="preserve"> non comporta oneri aggiuntivi per la finanza pubblica</w:t>
      </w:r>
      <w:r w:rsidR="00734629">
        <w:rPr>
          <w:rFonts w:ascii="Book Antiqua" w:eastAsia="Times New Roman" w:hAnsi="Book Antiqua"/>
          <w:bCs/>
          <w:color w:val="222222"/>
          <w:lang w:eastAsia="it-IT"/>
        </w:rPr>
        <w:t xml:space="preserve"> e, come per l’emendamento </w:t>
      </w:r>
      <w:r w:rsidR="006958D1">
        <w:rPr>
          <w:rFonts w:ascii="Book Antiqua" w:eastAsia="Times New Roman" w:hAnsi="Book Antiqua"/>
          <w:bCs/>
          <w:color w:val="222222"/>
          <w:lang w:eastAsia="it-IT"/>
        </w:rPr>
        <w:t xml:space="preserve">precedente, </w:t>
      </w:r>
      <w:r w:rsidR="0007263C">
        <w:rPr>
          <w:rFonts w:ascii="Book Antiqua" w:eastAsia="Times New Roman" w:hAnsi="Book Antiqua"/>
          <w:bCs/>
          <w:color w:val="222222"/>
          <w:lang w:eastAsia="it-IT"/>
        </w:rPr>
        <w:t xml:space="preserve">si </w:t>
      </w:r>
      <w:r w:rsidR="006958D1">
        <w:rPr>
          <w:rFonts w:ascii="Book Antiqua" w:eastAsia="Times New Roman" w:hAnsi="Book Antiqua"/>
          <w:bCs/>
          <w:color w:val="222222"/>
          <w:lang w:eastAsia="it-IT"/>
        </w:rPr>
        <w:t>prevede</w:t>
      </w:r>
      <w:r w:rsidR="00734629"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r w:rsidR="00654F0E" w:rsidRPr="00654F0E">
        <w:rPr>
          <w:rFonts w:ascii="Book Antiqua" w:eastAsia="Times New Roman" w:hAnsi="Book Antiqua"/>
          <w:bCs/>
          <w:color w:val="222222"/>
          <w:lang w:eastAsia="it-IT"/>
        </w:rPr>
        <w:t xml:space="preserve">un </w:t>
      </w:r>
      <w:r w:rsidR="0007263C">
        <w:rPr>
          <w:rFonts w:ascii="Book Antiqua" w:eastAsia="Times New Roman" w:hAnsi="Book Antiqua"/>
          <w:bCs/>
          <w:color w:val="222222"/>
          <w:lang w:eastAsia="it-IT"/>
        </w:rPr>
        <w:t xml:space="preserve">analogo </w:t>
      </w:r>
      <w:r w:rsidR="00654F0E" w:rsidRPr="00654F0E">
        <w:rPr>
          <w:rFonts w:ascii="Book Antiqua" w:eastAsia="Times New Roman" w:hAnsi="Book Antiqua"/>
          <w:bCs/>
          <w:color w:val="222222"/>
          <w:lang w:eastAsia="it-IT"/>
        </w:rPr>
        <w:t xml:space="preserve">meccanismo sanzionatorio </w:t>
      </w:r>
      <w:r w:rsidR="007F6971">
        <w:rPr>
          <w:rFonts w:ascii="Book Antiqua" w:eastAsia="Times New Roman" w:hAnsi="Book Antiqua"/>
          <w:bCs/>
          <w:color w:val="222222"/>
          <w:lang w:eastAsia="it-IT"/>
        </w:rPr>
        <w:t>per il</w:t>
      </w:r>
      <w:r w:rsidR="00734629">
        <w:rPr>
          <w:rFonts w:ascii="Book Antiqua" w:eastAsia="Times New Roman" w:hAnsi="Book Antiqua"/>
          <w:bCs/>
          <w:color w:val="222222"/>
          <w:lang w:eastAsia="it-IT"/>
        </w:rPr>
        <w:t xml:space="preserve"> mancato utilizzo degli spazi finanziari ottenuti</w:t>
      </w:r>
      <w:r w:rsidR="00654F0E" w:rsidRPr="00654F0E">
        <w:rPr>
          <w:rFonts w:ascii="Book Antiqua" w:eastAsia="Times New Roman" w:hAnsi="Book Antiqua"/>
          <w:bCs/>
          <w:color w:val="222222"/>
          <w:lang w:eastAsia="it-IT"/>
        </w:rPr>
        <w:t>.</w:t>
      </w:r>
    </w:p>
    <w:p w:rsidR="003578D3" w:rsidRDefault="003578D3" w:rsidP="00734629">
      <w:pPr>
        <w:shd w:val="clear" w:color="auto" w:fill="FFFFFF"/>
        <w:tabs>
          <w:tab w:val="num" w:pos="720"/>
        </w:tabs>
        <w:spacing w:before="120"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>
        <w:rPr>
          <w:rFonts w:ascii="Book Antiqua" w:eastAsia="Times New Roman" w:hAnsi="Book Antiqua"/>
          <w:bCs/>
          <w:color w:val="222222"/>
          <w:lang w:eastAsia="it-IT"/>
        </w:rPr>
        <w:t xml:space="preserve">Nelle more di una più generale opera di semplificazione delle comunicazioni contabili, sono inoltre auspicabili </w:t>
      </w:r>
      <w:r w:rsidRPr="003578D3">
        <w:rPr>
          <w:rFonts w:ascii="Book Antiqua" w:eastAsia="Times New Roman" w:hAnsi="Book Antiqua"/>
          <w:b/>
          <w:bCs/>
          <w:color w:val="222222"/>
          <w:lang w:eastAsia="it-IT"/>
        </w:rPr>
        <w:t>alcune semplificazioni nella contabilità degli enti fino a 5 mila abitanti</w:t>
      </w:r>
      <w:r>
        <w:rPr>
          <w:rFonts w:ascii="Book Antiqua" w:eastAsia="Times New Roman" w:hAnsi="Book Antiqua"/>
          <w:bCs/>
          <w:color w:val="222222"/>
          <w:lang w:eastAsia="it-IT"/>
        </w:rPr>
        <w:t>:</w:t>
      </w:r>
    </w:p>
    <w:p w:rsidR="003578D3" w:rsidRDefault="003578D3" w:rsidP="003578D3">
      <w:pPr>
        <w:pStyle w:val="Paragrafoelenco"/>
        <w:numPr>
          <w:ilvl w:val="0"/>
          <w:numId w:val="7"/>
        </w:numPr>
        <w:shd w:val="clear" w:color="auto" w:fill="FFFFFF"/>
        <w:tabs>
          <w:tab w:val="num" w:pos="720"/>
        </w:tabs>
        <w:spacing w:before="120"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>
        <w:rPr>
          <w:rFonts w:ascii="Book Antiqua" w:eastAsia="Times New Roman" w:hAnsi="Book Antiqua"/>
          <w:bCs/>
          <w:color w:val="222222"/>
          <w:lang w:eastAsia="it-IT"/>
        </w:rPr>
        <w:lastRenderedPageBreak/>
        <w:t>abolizione dell’obbligo di formulazione del Documento unico di programmazione, che per i Comuni minori è un’inutile anticipazione del bilancio pluriennale;</w:t>
      </w:r>
    </w:p>
    <w:p w:rsidR="003578D3" w:rsidRDefault="003578D3" w:rsidP="003578D3">
      <w:pPr>
        <w:pStyle w:val="Paragrafoelenco"/>
        <w:numPr>
          <w:ilvl w:val="0"/>
          <w:numId w:val="7"/>
        </w:numPr>
        <w:shd w:val="clear" w:color="auto" w:fill="FFFFFF"/>
        <w:tabs>
          <w:tab w:val="num" w:pos="720"/>
        </w:tabs>
        <w:spacing w:before="120"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>
        <w:rPr>
          <w:rFonts w:ascii="Book Antiqua" w:eastAsia="Times New Roman" w:hAnsi="Book Antiqua"/>
          <w:bCs/>
          <w:color w:val="222222"/>
          <w:lang w:eastAsia="it-IT"/>
        </w:rPr>
        <w:t>limitazione del piano dei conti al quarto livello di dettaglio, anziché al quinto previsto dai nuovi principi contabili.</w:t>
      </w:r>
    </w:p>
    <w:p w:rsidR="003578D3" w:rsidRPr="003578D3" w:rsidRDefault="003578D3" w:rsidP="003578D3">
      <w:pPr>
        <w:shd w:val="clear" w:color="auto" w:fill="FFFFFF"/>
        <w:tabs>
          <w:tab w:val="num" w:pos="720"/>
        </w:tabs>
        <w:spacing w:before="120"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  <w:r>
        <w:rPr>
          <w:rFonts w:ascii="Book Antiqua" w:eastAsia="Times New Roman" w:hAnsi="Book Antiqua"/>
          <w:bCs/>
          <w:color w:val="222222"/>
          <w:lang w:eastAsia="it-IT"/>
        </w:rPr>
        <w:t xml:space="preserve">Resta infine di particolare importanza </w:t>
      </w:r>
      <w:bookmarkStart w:id="0" w:name="_GoBack"/>
      <w:r w:rsidRPr="003578D3">
        <w:rPr>
          <w:rFonts w:ascii="Book Antiqua" w:eastAsia="Times New Roman" w:hAnsi="Book Antiqua"/>
          <w:b/>
          <w:bCs/>
          <w:color w:val="222222"/>
          <w:lang w:eastAsia="it-IT"/>
        </w:rPr>
        <w:t>l’abolizione del vincolo delle assunzioni</w:t>
      </w:r>
      <w:r>
        <w:rPr>
          <w:rFonts w:ascii="Book Antiqua" w:eastAsia="Times New Roman" w:hAnsi="Book Antiqua"/>
          <w:bCs/>
          <w:color w:val="222222"/>
          <w:lang w:eastAsia="it-IT"/>
        </w:rPr>
        <w:t xml:space="preserve"> </w:t>
      </w:r>
      <w:bookmarkEnd w:id="0"/>
      <w:r>
        <w:rPr>
          <w:rFonts w:ascii="Book Antiqua" w:eastAsia="Times New Roman" w:hAnsi="Book Antiqua"/>
          <w:bCs/>
          <w:color w:val="222222"/>
          <w:lang w:eastAsia="it-IT"/>
        </w:rPr>
        <w:t>che l’attuale formulazione della Legge di Stabilità 2016 restringe al 25% del personale cessato. Tale vincolo penalizza in modo particolare gli enti minori.</w:t>
      </w:r>
    </w:p>
    <w:p w:rsidR="003578D3" w:rsidRPr="00734629" w:rsidRDefault="003578D3" w:rsidP="00734629">
      <w:pPr>
        <w:shd w:val="clear" w:color="auto" w:fill="FFFFFF"/>
        <w:tabs>
          <w:tab w:val="num" w:pos="720"/>
        </w:tabs>
        <w:spacing w:before="120" w:after="0" w:line="276" w:lineRule="auto"/>
        <w:jc w:val="both"/>
        <w:rPr>
          <w:rFonts w:ascii="Book Antiqua" w:eastAsia="Times New Roman" w:hAnsi="Book Antiqua"/>
          <w:bCs/>
          <w:color w:val="222222"/>
          <w:lang w:eastAsia="it-IT"/>
        </w:rPr>
      </w:pPr>
    </w:p>
    <w:sectPr w:rsidR="003578D3" w:rsidRPr="00734629" w:rsidSect="00820646">
      <w:headerReference w:type="default" r:id="rId11"/>
      <w:footerReference w:type="default" r:id="rId12"/>
      <w:pgSz w:w="11906" w:h="16838"/>
      <w:pgMar w:top="1985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74D" w:rsidRDefault="003B174D" w:rsidP="00F11AA3">
      <w:pPr>
        <w:spacing w:after="0" w:line="240" w:lineRule="auto"/>
      </w:pPr>
      <w:r>
        <w:separator/>
      </w:r>
    </w:p>
  </w:endnote>
  <w:endnote w:type="continuationSeparator" w:id="0">
    <w:p w:rsidR="003B174D" w:rsidRDefault="003B174D" w:rsidP="00F11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DCE" w:rsidRPr="00190DCE" w:rsidRDefault="00190DCE">
    <w:pPr>
      <w:pStyle w:val="Pidipagina"/>
      <w:jc w:val="right"/>
      <w:rPr>
        <w:rFonts w:ascii="Arial Narrow" w:hAnsi="Arial Narrow"/>
        <w:sz w:val="18"/>
      </w:rPr>
    </w:pPr>
    <w:r w:rsidRPr="00190DCE">
      <w:rPr>
        <w:rFonts w:ascii="Arial Narrow" w:hAnsi="Arial Narrow"/>
        <w:sz w:val="18"/>
      </w:rPr>
      <w:fldChar w:fldCharType="begin"/>
    </w:r>
    <w:r w:rsidRPr="00190DCE">
      <w:rPr>
        <w:rFonts w:ascii="Arial Narrow" w:hAnsi="Arial Narrow"/>
        <w:sz w:val="18"/>
      </w:rPr>
      <w:instrText>PAGE   \* MERGEFORMAT</w:instrText>
    </w:r>
    <w:r w:rsidRPr="00190DCE">
      <w:rPr>
        <w:rFonts w:ascii="Arial Narrow" w:hAnsi="Arial Narrow"/>
        <w:sz w:val="18"/>
      </w:rPr>
      <w:fldChar w:fldCharType="separate"/>
    </w:r>
    <w:r w:rsidR="003578D3">
      <w:rPr>
        <w:rFonts w:ascii="Arial Narrow" w:hAnsi="Arial Narrow"/>
        <w:noProof/>
        <w:sz w:val="18"/>
      </w:rPr>
      <w:t>5</w:t>
    </w:r>
    <w:r w:rsidRPr="00190DCE">
      <w:rPr>
        <w:rFonts w:ascii="Arial Narrow" w:hAnsi="Arial Narrow"/>
        <w:sz w:val="18"/>
      </w:rPr>
      <w:fldChar w:fldCharType="end"/>
    </w:r>
  </w:p>
  <w:p w:rsidR="00A712E0" w:rsidRDefault="00A712E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74D" w:rsidRDefault="003B174D" w:rsidP="00F11AA3">
      <w:pPr>
        <w:spacing w:after="0" w:line="240" w:lineRule="auto"/>
      </w:pPr>
      <w:r>
        <w:separator/>
      </w:r>
    </w:p>
  </w:footnote>
  <w:footnote w:type="continuationSeparator" w:id="0">
    <w:p w:rsidR="003B174D" w:rsidRDefault="003B174D" w:rsidP="00F11AA3">
      <w:pPr>
        <w:spacing w:after="0" w:line="240" w:lineRule="auto"/>
      </w:pPr>
      <w:r>
        <w:continuationSeparator/>
      </w:r>
    </w:p>
  </w:footnote>
  <w:footnote w:id="1">
    <w:p w:rsidR="00D77B4F" w:rsidRPr="00D77B4F" w:rsidRDefault="00D77B4F" w:rsidP="00AB5BFD">
      <w:pPr>
        <w:pStyle w:val="Testonotaapidipagina"/>
        <w:jc w:val="both"/>
        <w:rPr>
          <w:rFonts w:ascii="Book Antiqua" w:hAnsi="Book Antiqua"/>
          <w:sz w:val="16"/>
        </w:rPr>
      </w:pPr>
      <w:r w:rsidRPr="00D77B4F">
        <w:rPr>
          <w:rStyle w:val="Rimandonotaapidipagina"/>
          <w:rFonts w:ascii="Book Antiqua" w:hAnsi="Book Antiqua"/>
          <w:sz w:val="16"/>
        </w:rPr>
        <w:footnoteRef/>
      </w:r>
      <w:r w:rsidRPr="00D77B4F">
        <w:rPr>
          <w:rFonts w:ascii="Book Antiqua" w:hAnsi="Book Antiqua"/>
          <w:sz w:val="16"/>
        </w:rPr>
        <w:t xml:space="preserve"> </w:t>
      </w:r>
      <w:r w:rsidR="00AB5BFD">
        <w:rPr>
          <w:rFonts w:ascii="Book Antiqua" w:hAnsi="Book Antiqua"/>
          <w:sz w:val="16"/>
        </w:rPr>
        <w:t>Nella tabella 3 sono 268 i Comuni fino a 1.000 abitanti con saldo di competenza negativo per un valore superiore al 3% delle entrate correnti</w:t>
      </w:r>
      <w:r w:rsidR="000E1110">
        <w:rPr>
          <w:rFonts w:ascii="Book Antiqua" w:hAnsi="Book Antiqua"/>
          <w:sz w:val="16"/>
        </w:rPr>
        <w:t xml:space="preserve"> accertate</w:t>
      </w:r>
      <w:r w:rsidR="00AB5BFD">
        <w:rPr>
          <w:rFonts w:ascii="Book Antiqua" w:hAnsi="Book Antiqua"/>
          <w:sz w:val="16"/>
        </w:rPr>
        <w:t xml:space="preserve">. </w:t>
      </w:r>
      <w:r w:rsidR="0034731F">
        <w:rPr>
          <w:rFonts w:ascii="Book Antiqua" w:hAnsi="Book Antiqua"/>
          <w:sz w:val="16"/>
        </w:rPr>
        <w:t>Tuttavia</w:t>
      </w:r>
      <w:r w:rsidR="00AB5BFD">
        <w:rPr>
          <w:rFonts w:ascii="Book Antiqua" w:hAnsi="Book Antiqua"/>
          <w:sz w:val="16"/>
        </w:rPr>
        <w:t>, dal momento che il campione utilizzato nell’analisi copre il 75% dell’universo di riferimento, si ritiene ragionevole stimare in almeno 300 il numero di enti che potrebbero presentare le maggiori criticità indagate.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AA3" w:rsidRDefault="007309BC">
    <w:pPr>
      <w:pStyle w:val="Intestazione"/>
    </w:pPr>
    <w:r>
      <w:rPr>
        <w:noProof/>
        <w:lang w:eastAsia="it-IT"/>
      </w:rPr>
      <w:drawing>
        <wp:inline distT="0" distB="0" distL="0" distR="0" wp14:anchorId="171C7427" wp14:editId="39A0BE7B">
          <wp:extent cx="607060" cy="511810"/>
          <wp:effectExtent l="0" t="0" r="2540" b="2540"/>
          <wp:docPr id="4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94488"/>
    <w:multiLevelType w:val="hybridMultilevel"/>
    <w:tmpl w:val="D39EFC7C"/>
    <w:lvl w:ilvl="0" w:tplc="EF74E1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705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C8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EA4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81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22E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0A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6E6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F66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72B795A"/>
    <w:multiLevelType w:val="hybridMultilevel"/>
    <w:tmpl w:val="7DB89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E25F3"/>
    <w:multiLevelType w:val="hybridMultilevel"/>
    <w:tmpl w:val="A0A454F4"/>
    <w:lvl w:ilvl="0" w:tplc="606ED22C">
      <w:start w:val="4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81E5D"/>
    <w:multiLevelType w:val="hybridMultilevel"/>
    <w:tmpl w:val="1A4E96E0"/>
    <w:lvl w:ilvl="0" w:tplc="A2EEF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AC53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6E97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B255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66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ECB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FA6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CA6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B297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D495416"/>
    <w:multiLevelType w:val="hybridMultilevel"/>
    <w:tmpl w:val="27C045CE"/>
    <w:lvl w:ilvl="0" w:tplc="34645778">
      <w:start w:val="23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26340"/>
    <w:multiLevelType w:val="hybridMultilevel"/>
    <w:tmpl w:val="CAD28138"/>
    <w:lvl w:ilvl="0" w:tplc="C0FE6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863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00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5A8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A838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BC1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88DD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589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D627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B053F5"/>
    <w:multiLevelType w:val="hybridMultilevel"/>
    <w:tmpl w:val="5C2C5B42"/>
    <w:lvl w:ilvl="0" w:tplc="59580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C8C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D0E7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DA5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24F6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08C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CEE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8A48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2AC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AA3"/>
    <w:rsid w:val="00014A30"/>
    <w:rsid w:val="00015D34"/>
    <w:rsid w:val="0001622F"/>
    <w:rsid w:val="00021C46"/>
    <w:rsid w:val="00030599"/>
    <w:rsid w:val="00031245"/>
    <w:rsid w:val="000353AA"/>
    <w:rsid w:val="00045B88"/>
    <w:rsid w:val="00051281"/>
    <w:rsid w:val="00051F12"/>
    <w:rsid w:val="00052656"/>
    <w:rsid w:val="00052BC7"/>
    <w:rsid w:val="0005742B"/>
    <w:rsid w:val="0007263C"/>
    <w:rsid w:val="00083DAA"/>
    <w:rsid w:val="00083F4E"/>
    <w:rsid w:val="000920DE"/>
    <w:rsid w:val="00092A9C"/>
    <w:rsid w:val="00093B56"/>
    <w:rsid w:val="000A0546"/>
    <w:rsid w:val="000A3BFA"/>
    <w:rsid w:val="000A3EE8"/>
    <w:rsid w:val="000A7994"/>
    <w:rsid w:val="000C53A0"/>
    <w:rsid w:val="000C6AAE"/>
    <w:rsid w:val="000D0B36"/>
    <w:rsid w:val="000E1110"/>
    <w:rsid w:val="000E30A8"/>
    <w:rsid w:val="000E7AE2"/>
    <w:rsid w:val="000F1372"/>
    <w:rsid w:val="000F1532"/>
    <w:rsid w:val="000F40FA"/>
    <w:rsid w:val="001017DC"/>
    <w:rsid w:val="00105908"/>
    <w:rsid w:val="0012335B"/>
    <w:rsid w:val="00126C8A"/>
    <w:rsid w:val="00127377"/>
    <w:rsid w:val="00143644"/>
    <w:rsid w:val="00143F9A"/>
    <w:rsid w:val="0015354A"/>
    <w:rsid w:val="00154C3E"/>
    <w:rsid w:val="00160C6A"/>
    <w:rsid w:val="00170039"/>
    <w:rsid w:val="00175C95"/>
    <w:rsid w:val="00176AF6"/>
    <w:rsid w:val="0018469D"/>
    <w:rsid w:val="00190DCE"/>
    <w:rsid w:val="00193C07"/>
    <w:rsid w:val="001B05E5"/>
    <w:rsid w:val="001C2FB6"/>
    <w:rsid w:val="001C5815"/>
    <w:rsid w:val="001D22B1"/>
    <w:rsid w:val="001E518E"/>
    <w:rsid w:val="001E5D40"/>
    <w:rsid w:val="001E6C82"/>
    <w:rsid w:val="001E73F2"/>
    <w:rsid w:val="001F5502"/>
    <w:rsid w:val="002026A8"/>
    <w:rsid w:val="00203F51"/>
    <w:rsid w:val="00205A3D"/>
    <w:rsid w:val="002119D3"/>
    <w:rsid w:val="00213269"/>
    <w:rsid w:val="00214F04"/>
    <w:rsid w:val="00223D76"/>
    <w:rsid w:val="00227BF1"/>
    <w:rsid w:val="00240514"/>
    <w:rsid w:val="00243738"/>
    <w:rsid w:val="0025148C"/>
    <w:rsid w:val="00256C99"/>
    <w:rsid w:val="002635DB"/>
    <w:rsid w:val="002749FC"/>
    <w:rsid w:val="00275C0A"/>
    <w:rsid w:val="002927C0"/>
    <w:rsid w:val="002B4296"/>
    <w:rsid w:val="002D0531"/>
    <w:rsid w:val="002E3881"/>
    <w:rsid w:val="0030206C"/>
    <w:rsid w:val="003037DC"/>
    <w:rsid w:val="00335E11"/>
    <w:rsid w:val="00340FB2"/>
    <w:rsid w:val="0034731F"/>
    <w:rsid w:val="003521CE"/>
    <w:rsid w:val="00352C03"/>
    <w:rsid w:val="003578D3"/>
    <w:rsid w:val="003615F3"/>
    <w:rsid w:val="00366473"/>
    <w:rsid w:val="00376208"/>
    <w:rsid w:val="003958E4"/>
    <w:rsid w:val="00395E26"/>
    <w:rsid w:val="00396727"/>
    <w:rsid w:val="003A42CE"/>
    <w:rsid w:val="003B174D"/>
    <w:rsid w:val="003B6C3C"/>
    <w:rsid w:val="003B7F9A"/>
    <w:rsid w:val="003C2435"/>
    <w:rsid w:val="003C3FD0"/>
    <w:rsid w:val="003D6D97"/>
    <w:rsid w:val="003E4996"/>
    <w:rsid w:val="003E5C14"/>
    <w:rsid w:val="00412731"/>
    <w:rsid w:val="00415625"/>
    <w:rsid w:val="004173AE"/>
    <w:rsid w:val="00417F5B"/>
    <w:rsid w:val="00420124"/>
    <w:rsid w:val="00424660"/>
    <w:rsid w:val="00425CC6"/>
    <w:rsid w:val="00430BB0"/>
    <w:rsid w:val="00430C90"/>
    <w:rsid w:val="0045189D"/>
    <w:rsid w:val="00454737"/>
    <w:rsid w:val="00454E1C"/>
    <w:rsid w:val="00454F3A"/>
    <w:rsid w:val="00460543"/>
    <w:rsid w:val="00464660"/>
    <w:rsid w:val="004675EF"/>
    <w:rsid w:val="00474DC2"/>
    <w:rsid w:val="004857AE"/>
    <w:rsid w:val="004958AE"/>
    <w:rsid w:val="004A23DC"/>
    <w:rsid w:val="004B5EA0"/>
    <w:rsid w:val="004C3B68"/>
    <w:rsid w:val="004D4E48"/>
    <w:rsid w:val="004F4795"/>
    <w:rsid w:val="004F6708"/>
    <w:rsid w:val="004F685C"/>
    <w:rsid w:val="00505E16"/>
    <w:rsid w:val="00511CFB"/>
    <w:rsid w:val="005152A7"/>
    <w:rsid w:val="00515336"/>
    <w:rsid w:val="00523267"/>
    <w:rsid w:val="00526221"/>
    <w:rsid w:val="00527BD8"/>
    <w:rsid w:val="0053090F"/>
    <w:rsid w:val="00557F00"/>
    <w:rsid w:val="00564BDF"/>
    <w:rsid w:val="00570AF3"/>
    <w:rsid w:val="00580639"/>
    <w:rsid w:val="00580AF2"/>
    <w:rsid w:val="0058739F"/>
    <w:rsid w:val="005A3C17"/>
    <w:rsid w:val="005A5E28"/>
    <w:rsid w:val="005B505B"/>
    <w:rsid w:val="005B66BE"/>
    <w:rsid w:val="005C116A"/>
    <w:rsid w:val="005C7B55"/>
    <w:rsid w:val="005E4097"/>
    <w:rsid w:val="005E5BD5"/>
    <w:rsid w:val="00602CA9"/>
    <w:rsid w:val="006051CF"/>
    <w:rsid w:val="0060759C"/>
    <w:rsid w:val="00610A0B"/>
    <w:rsid w:val="00624C75"/>
    <w:rsid w:val="00630A5C"/>
    <w:rsid w:val="00630D1C"/>
    <w:rsid w:val="00632A26"/>
    <w:rsid w:val="00633C47"/>
    <w:rsid w:val="006364E4"/>
    <w:rsid w:val="0063745D"/>
    <w:rsid w:val="00640CF7"/>
    <w:rsid w:val="00654F0E"/>
    <w:rsid w:val="0065788E"/>
    <w:rsid w:val="00661757"/>
    <w:rsid w:val="00664171"/>
    <w:rsid w:val="00665086"/>
    <w:rsid w:val="00666612"/>
    <w:rsid w:val="006723E4"/>
    <w:rsid w:val="006768A9"/>
    <w:rsid w:val="006808AC"/>
    <w:rsid w:val="00682989"/>
    <w:rsid w:val="00683F2A"/>
    <w:rsid w:val="00690215"/>
    <w:rsid w:val="00690B76"/>
    <w:rsid w:val="006958D1"/>
    <w:rsid w:val="006970EC"/>
    <w:rsid w:val="006D6B06"/>
    <w:rsid w:val="006E1610"/>
    <w:rsid w:val="006E4A3D"/>
    <w:rsid w:val="006E5EBD"/>
    <w:rsid w:val="00710360"/>
    <w:rsid w:val="00720EC5"/>
    <w:rsid w:val="00724EF1"/>
    <w:rsid w:val="007309BC"/>
    <w:rsid w:val="0073290D"/>
    <w:rsid w:val="00734629"/>
    <w:rsid w:val="00746653"/>
    <w:rsid w:val="0075105B"/>
    <w:rsid w:val="00754320"/>
    <w:rsid w:val="00761F3A"/>
    <w:rsid w:val="00764300"/>
    <w:rsid w:val="00776D5B"/>
    <w:rsid w:val="007861B7"/>
    <w:rsid w:val="007A43C8"/>
    <w:rsid w:val="007B52BC"/>
    <w:rsid w:val="007B56A8"/>
    <w:rsid w:val="007C7989"/>
    <w:rsid w:val="007E1EC4"/>
    <w:rsid w:val="007F0A94"/>
    <w:rsid w:val="007F0DDF"/>
    <w:rsid w:val="007F2CA8"/>
    <w:rsid w:val="007F4BF9"/>
    <w:rsid w:val="007F6971"/>
    <w:rsid w:val="007F7336"/>
    <w:rsid w:val="008056D8"/>
    <w:rsid w:val="008063DD"/>
    <w:rsid w:val="00813852"/>
    <w:rsid w:val="00820646"/>
    <w:rsid w:val="00821906"/>
    <w:rsid w:val="00834ADC"/>
    <w:rsid w:val="00840476"/>
    <w:rsid w:val="00845B5E"/>
    <w:rsid w:val="00846B92"/>
    <w:rsid w:val="008500E0"/>
    <w:rsid w:val="0085204A"/>
    <w:rsid w:val="00854CD4"/>
    <w:rsid w:val="00856935"/>
    <w:rsid w:val="008656B1"/>
    <w:rsid w:val="00873952"/>
    <w:rsid w:val="008868F2"/>
    <w:rsid w:val="008872B6"/>
    <w:rsid w:val="00891F56"/>
    <w:rsid w:val="00893CCC"/>
    <w:rsid w:val="008945F0"/>
    <w:rsid w:val="008967CE"/>
    <w:rsid w:val="008A1DB3"/>
    <w:rsid w:val="008B3883"/>
    <w:rsid w:val="008B5EF0"/>
    <w:rsid w:val="008D0DF7"/>
    <w:rsid w:val="008D6E73"/>
    <w:rsid w:val="008E006C"/>
    <w:rsid w:val="008E2A46"/>
    <w:rsid w:val="008F56A8"/>
    <w:rsid w:val="00900205"/>
    <w:rsid w:val="009027E7"/>
    <w:rsid w:val="00907574"/>
    <w:rsid w:val="009125D3"/>
    <w:rsid w:val="00930879"/>
    <w:rsid w:val="00955546"/>
    <w:rsid w:val="00965251"/>
    <w:rsid w:val="00965986"/>
    <w:rsid w:val="00972FDA"/>
    <w:rsid w:val="009733A8"/>
    <w:rsid w:val="00973E40"/>
    <w:rsid w:val="00974264"/>
    <w:rsid w:val="00992700"/>
    <w:rsid w:val="00996B07"/>
    <w:rsid w:val="00996FA7"/>
    <w:rsid w:val="0099797D"/>
    <w:rsid w:val="009A08F4"/>
    <w:rsid w:val="009A647D"/>
    <w:rsid w:val="009A77DC"/>
    <w:rsid w:val="009B2651"/>
    <w:rsid w:val="009B2FFD"/>
    <w:rsid w:val="009C3211"/>
    <w:rsid w:val="009C3DA8"/>
    <w:rsid w:val="009C672E"/>
    <w:rsid w:val="009D2A23"/>
    <w:rsid w:val="009D2A92"/>
    <w:rsid w:val="009D2AB4"/>
    <w:rsid w:val="009D51DD"/>
    <w:rsid w:val="009E36E1"/>
    <w:rsid w:val="009E7E14"/>
    <w:rsid w:val="00A04131"/>
    <w:rsid w:val="00A074FE"/>
    <w:rsid w:val="00A07EA8"/>
    <w:rsid w:val="00A10746"/>
    <w:rsid w:val="00A12523"/>
    <w:rsid w:val="00A22E9F"/>
    <w:rsid w:val="00A30A01"/>
    <w:rsid w:val="00A4711A"/>
    <w:rsid w:val="00A47C9D"/>
    <w:rsid w:val="00A50CFB"/>
    <w:rsid w:val="00A52DBC"/>
    <w:rsid w:val="00A53FBB"/>
    <w:rsid w:val="00A55C2A"/>
    <w:rsid w:val="00A712E0"/>
    <w:rsid w:val="00A775F8"/>
    <w:rsid w:val="00A82B7A"/>
    <w:rsid w:val="00A94F60"/>
    <w:rsid w:val="00AA01B3"/>
    <w:rsid w:val="00AA1B37"/>
    <w:rsid w:val="00AA3955"/>
    <w:rsid w:val="00AB1632"/>
    <w:rsid w:val="00AB5BFD"/>
    <w:rsid w:val="00AC4F72"/>
    <w:rsid w:val="00AD3D2E"/>
    <w:rsid w:val="00AE12A0"/>
    <w:rsid w:val="00AE1DED"/>
    <w:rsid w:val="00AE4703"/>
    <w:rsid w:val="00AE6311"/>
    <w:rsid w:val="00AE6CB0"/>
    <w:rsid w:val="00AE7D9D"/>
    <w:rsid w:val="00B03EC4"/>
    <w:rsid w:val="00B10223"/>
    <w:rsid w:val="00B16CE0"/>
    <w:rsid w:val="00B2251F"/>
    <w:rsid w:val="00B317BF"/>
    <w:rsid w:val="00B47600"/>
    <w:rsid w:val="00B533CB"/>
    <w:rsid w:val="00B60433"/>
    <w:rsid w:val="00B709FA"/>
    <w:rsid w:val="00B74B6C"/>
    <w:rsid w:val="00B75CFD"/>
    <w:rsid w:val="00B901A6"/>
    <w:rsid w:val="00B97CA0"/>
    <w:rsid w:val="00BA5895"/>
    <w:rsid w:val="00BA630B"/>
    <w:rsid w:val="00BA6C64"/>
    <w:rsid w:val="00BC74BD"/>
    <w:rsid w:val="00BD08D5"/>
    <w:rsid w:val="00BD0FAA"/>
    <w:rsid w:val="00BF21C5"/>
    <w:rsid w:val="00BF24B7"/>
    <w:rsid w:val="00BF47A7"/>
    <w:rsid w:val="00C00887"/>
    <w:rsid w:val="00C06E20"/>
    <w:rsid w:val="00C116DC"/>
    <w:rsid w:val="00C261DD"/>
    <w:rsid w:val="00C33A38"/>
    <w:rsid w:val="00C5632D"/>
    <w:rsid w:val="00C57592"/>
    <w:rsid w:val="00C60D69"/>
    <w:rsid w:val="00C754AF"/>
    <w:rsid w:val="00C82471"/>
    <w:rsid w:val="00C87BE7"/>
    <w:rsid w:val="00C91F3B"/>
    <w:rsid w:val="00CA51AF"/>
    <w:rsid w:val="00CA7F21"/>
    <w:rsid w:val="00CC3C71"/>
    <w:rsid w:val="00CC491B"/>
    <w:rsid w:val="00CC603B"/>
    <w:rsid w:val="00CD0442"/>
    <w:rsid w:val="00CD78EE"/>
    <w:rsid w:val="00CE5BCC"/>
    <w:rsid w:val="00D074E6"/>
    <w:rsid w:val="00D10C8E"/>
    <w:rsid w:val="00D129D8"/>
    <w:rsid w:val="00D15254"/>
    <w:rsid w:val="00D20FB1"/>
    <w:rsid w:val="00D22D12"/>
    <w:rsid w:val="00D2750E"/>
    <w:rsid w:val="00D44C98"/>
    <w:rsid w:val="00D52256"/>
    <w:rsid w:val="00D57AA8"/>
    <w:rsid w:val="00D636DF"/>
    <w:rsid w:val="00D71703"/>
    <w:rsid w:val="00D7254A"/>
    <w:rsid w:val="00D77B4F"/>
    <w:rsid w:val="00D827CE"/>
    <w:rsid w:val="00D84C06"/>
    <w:rsid w:val="00D95659"/>
    <w:rsid w:val="00DB5AC8"/>
    <w:rsid w:val="00DD53BC"/>
    <w:rsid w:val="00DF1430"/>
    <w:rsid w:val="00E02B9B"/>
    <w:rsid w:val="00E050E2"/>
    <w:rsid w:val="00E07B9A"/>
    <w:rsid w:val="00E11134"/>
    <w:rsid w:val="00E15D01"/>
    <w:rsid w:val="00E210A1"/>
    <w:rsid w:val="00E23818"/>
    <w:rsid w:val="00E25ED1"/>
    <w:rsid w:val="00E32196"/>
    <w:rsid w:val="00E5400A"/>
    <w:rsid w:val="00E545CC"/>
    <w:rsid w:val="00E5518C"/>
    <w:rsid w:val="00E55458"/>
    <w:rsid w:val="00E554D1"/>
    <w:rsid w:val="00E61815"/>
    <w:rsid w:val="00E666D3"/>
    <w:rsid w:val="00E717E0"/>
    <w:rsid w:val="00E7432A"/>
    <w:rsid w:val="00E93C03"/>
    <w:rsid w:val="00E96D9E"/>
    <w:rsid w:val="00E97528"/>
    <w:rsid w:val="00ED1B14"/>
    <w:rsid w:val="00EE5283"/>
    <w:rsid w:val="00EF7C2B"/>
    <w:rsid w:val="00F02552"/>
    <w:rsid w:val="00F11AA3"/>
    <w:rsid w:val="00F136F0"/>
    <w:rsid w:val="00F33CBF"/>
    <w:rsid w:val="00F34DCF"/>
    <w:rsid w:val="00F452BF"/>
    <w:rsid w:val="00F45B0D"/>
    <w:rsid w:val="00F465E0"/>
    <w:rsid w:val="00F47125"/>
    <w:rsid w:val="00F53E8A"/>
    <w:rsid w:val="00F74106"/>
    <w:rsid w:val="00F76892"/>
    <w:rsid w:val="00F83333"/>
    <w:rsid w:val="00F83724"/>
    <w:rsid w:val="00F837E5"/>
    <w:rsid w:val="00F9264E"/>
    <w:rsid w:val="00F93B7F"/>
    <w:rsid w:val="00FA0D41"/>
    <w:rsid w:val="00FA44BE"/>
    <w:rsid w:val="00FB0E2A"/>
    <w:rsid w:val="00FC0752"/>
    <w:rsid w:val="00FC19F3"/>
    <w:rsid w:val="00FC2CA3"/>
    <w:rsid w:val="00FD2AE6"/>
    <w:rsid w:val="00FE5C49"/>
    <w:rsid w:val="00FF1D46"/>
    <w:rsid w:val="00FF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EAC39D-BD09-4F79-B4E3-90E4690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11A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hoenzb">
    <w:name w:val="hoenzb"/>
    <w:basedOn w:val="Carpredefinitoparagrafo"/>
    <w:rsid w:val="00F11AA3"/>
  </w:style>
  <w:style w:type="paragraph" w:styleId="Intestazione">
    <w:name w:val="header"/>
    <w:basedOn w:val="Normale"/>
    <w:link w:val="IntestazioneCarattere"/>
    <w:uiPriority w:val="99"/>
    <w:unhideWhenUsed/>
    <w:rsid w:val="00F11A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AA3"/>
  </w:style>
  <w:style w:type="paragraph" w:styleId="Pidipagina">
    <w:name w:val="footer"/>
    <w:basedOn w:val="Normale"/>
    <w:link w:val="PidipaginaCarattere"/>
    <w:uiPriority w:val="99"/>
    <w:unhideWhenUsed/>
    <w:rsid w:val="00F11A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AA3"/>
  </w:style>
  <w:style w:type="paragraph" w:styleId="Paragrafoelenco">
    <w:name w:val="List Paragraph"/>
    <w:basedOn w:val="Normale"/>
    <w:uiPriority w:val="34"/>
    <w:qFormat/>
    <w:rsid w:val="00996B0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D53B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7B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7B4F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7B4F"/>
    <w:rPr>
      <w:vertAlign w:val="superscript"/>
    </w:rPr>
  </w:style>
  <w:style w:type="paragraph" w:customStyle="1" w:styleId="xmsonormal">
    <w:name w:val="x_msonormal"/>
    <w:basedOn w:val="Normale"/>
    <w:rsid w:val="00D827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1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217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9232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9302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3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787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9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5185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2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22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4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56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78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11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6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5874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397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2291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3CB0A-41A7-45CC-919E-9F8B0ED22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</dc:creator>
  <cp:lastModifiedBy>xx</cp:lastModifiedBy>
  <cp:revision>2</cp:revision>
  <cp:lastPrinted>2015-12-14T10:24:00Z</cp:lastPrinted>
  <dcterms:created xsi:type="dcterms:W3CDTF">2015-12-15T11:53:00Z</dcterms:created>
  <dcterms:modified xsi:type="dcterms:W3CDTF">2015-12-15T11:53:00Z</dcterms:modified>
</cp:coreProperties>
</file>