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2CC4EC" w14:textId="77777777" w:rsidR="00FC56C2" w:rsidRDefault="009C3A69" w:rsidP="009C3A69">
      <w:pPr>
        <w:jc w:val="center"/>
        <w:rPr>
          <w:rFonts w:ascii="Bookman Old Style" w:hAnsi="Bookman Old Style"/>
          <w:b/>
          <w:sz w:val="24"/>
          <w:szCs w:val="24"/>
        </w:rPr>
      </w:pPr>
      <w:r>
        <w:rPr>
          <w:rFonts w:ascii="Bookman Old Style" w:hAnsi="Bookman Old Style"/>
          <w:b/>
          <w:sz w:val="24"/>
          <w:szCs w:val="24"/>
        </w:rPr>
        <w:t>GESTIONI ASSOCIATE</w:t>
      </w:r>
      <w:r w:rsidR="00BB1EDB">
        <w:rPr>
          <w:rFonts w:ascii="Bookman Old Style" w:hAnsi="Bookman Old Style"/>
          <w:b/>
          <w:sz w:val="24"/>
          <w:szCs w:val="24"/>
        </w:rPr>
        <w:t xml:space="preserve"> PER RIORDINO GOVERNANCE LOCALE</w:t>
      </w:r>
    </w:p>
    <w:p w14:paraId="328B6A00" w14:textId="77777777" w:rsidR="009C3A69" w:rsidRDefault="00BB1EDB" w:rsidP="009C3A69">
      <w:pPr>
        <w:jc w:val="center"/>
        <w:rPr>
          <w:rFonts w:ascii="Bookman Old Style" w:hAnsi="Bookman Old Style"/>
          <w:b/>
          <w:sz w:val="24"/>
          <w:szCs w:val="24"/>
        </w:rPr>
      </w:pPr>
      <w:r>
        <w:rPr>
          <w:rFonts w:ascii="Bookman Old Style" w:hAnsi="Bookman Old Style"/>
          <w:b/>
          <w:sz w:val="24"/>
          <w:szCs w:val="24"/>
        </w:rPr>
        <w:t xml:space="preserve">Sospensione termini e </w:t>
      </w:r>
      <w:proofErr w:type="gramStart"/>
      <w:r>
        <w:rPr>
          <w:rFonts w:ascii="Bookman Old Style" w:hAnsi="Bookman Old Style"/>
          <w:b/>
          <w:sz w:val="24"/>
          <w:szCs w:val="24"/>
        </w:rPr>
        <w:t>revisione</w:t>
      </w:r>
      <w:proofErr w:type="gramEnd"/>
      <w:r>
        <w:rPr>
          <w:rFonts w:ascii="Bookman Old Style" w:hAnsi="Bookman Old Style"/>
          <w:b/>
          <w:sz w:val="24"/>
          <w:szCs w:val="24"/>
        </w:rPr>
        <w:t xml:space="preserve"> normativa</w:t>
      </w:r>
    </w:p>
    <w:p w14:paraId="296E5ACB" w14:textId="77777777" w:rsidR="00E41A8F" w:rsidRDefault="00E41A8F" w:rsidP="009C3A69">
      <w:pPr>
        <w:jc w:val="center"/>
        <w:rPr>
          <w:rFonts w:ascii="Bookman Old Style" w:hAnsi="Bookman Old Style"/>
          <w:b/>
          <w:sz w:val="24"/>
          <w:szCs w:val="24"/>
        </w:rPr>
      </w:pPr>
    </w:p>
    <w:p w14:paraId="099DDA97" w14:textId="77777777" w:rsidR="00E41A8F" w:rsidRDefault="00E41A8F" w:rsidP="00E41A8F">
      <w:pPr>
        <w:spacing w:line="200" w:lineRule="atLeast"/>
        <w:ind w:left="-142" w:right="-1"/>
        <w:jc w:val="both"/>
        <w:rPr>
          <w:rFonts w:ascii="Bookman Old Style" w:hAnsi="Bookman Old Style"/>
          <w:b/>
          <w:i/>
          <w:sz w:val="24"/>
          <w:szCs w:val="24"/>
        </w:rPr>
      </w:pPr>
      <w:r>
        <w:rPr>
          <w:rFonts w:ascii="Bookman Old Style" w:hAnsi="Bookman Old Style"/>
          <w:b/>
          <w:i/>
          <w:sz w:val="24"/>
          <w:szCs w:val="24"/>
        </w:rPr>
        <w:t>Premessa - Le maggiori criticità della normativa vigente.</w:t>
      </w:r>
    </w:p>
    <w:p w14:paraId="07D79938" w14:textId="77777777" w:rsidR="00E41A8F" w:rsidRDefault="00E41A8F" w:rsidP="00E41A8F">
      <w:pPr>
        <w:spacing w:line="200" w:lineRule="atLeast"/>
        <w:ind w:left="-142" w:right="-1"/>
        <w:jc w:val="both"/>
        <w:rPr>
          <w:rFonts w:ascii="Bookman Old Style" w:hAnsi="Bookman Old Style"/>
          <w:sz w:val="24"/>
          <w:szCs w:val="24"/>
        </w:rPr>
      </w:pPr>
      <w:r>
        <w:rPr>
          <w:rFonts w:ascii="Bookman Old Style" w:hAnsi="Bookman Old Style"/>
          <w:sz w:val="24"/>
          <w:szCs w:val="24"/>
        </w:rPr>
        <w:t>Come delineato nel “Manifesto di Cagliari”</w:t>
      </w:r>
      <w:bookmarkStart w:id="0" w:name="_GoBack"/>
      <w:bookmarkEnd w:id="0"/>
      <w:r>
        <w:rPr>
          <w:rFonts w:ascii="Bookman Old Style" w:hAnsi="Bookman Old Style"/>
          <w:sz w:val="24"/>
          <w:szCs w:val="24"/>
        </w:rPr>
        <w:t xml:space="preserve">, il Limite Demografico Minimo da raggiungere, fissato dalla legge 56/2014 in 10.000 abitanti, o in 3.000 abitanti per i Comuni montani, per l’esercizio associato da parte dei Comuni fino a 5.000 abitanti (o fino a 3.000 ab. se montani) - delle funzioni fondamentali tramite Unioni e Convenzioni, ha dimostrato di costituire nella gran parte dei casi un ostacolo alla costruzione di processi associativi funzionali ed efficaci. </w:t>
      </w:r>
      <w:proofErr w:type="gramStart"/>
      <w:r>
        <w:rPr>
          <w:rFonts w:ascii="Bookman Old Style" w:hAnsi="Bookman Old Style"/>
          <w:sz w:val="24"/>
          <w:szCs w:val="24"/>
        </w:rPr>
        <w:t>Questo</w:t>
      </w:r>
      <w:proofErr w:type="gramEnd"/>
      <w:r>
        <w:rPr>
          <w:rFonts w:ascii="Bookman Old Style" w:hAnsi="Bookman Old Style"/>
          <w:sz w:val="24"/>
          <w:szCs w:val="24"/>
        </w:rPr>
        <w:t xml:space="preserve"> aspetto è divenuto una ancor più evidente criticità nelle Regioni che non hanno disciplinato un diverso limite demografico come consentito dall’art. 1, comma 107, lettera b</w:t>
      </w:r>
      <w:proofErr w:type="gramStart"/>
      <w:r>
        <w:rPr>
          <w:rFonts w:ascii="Bookman Old Style" w:hAnsi="Bookman Old Style"/>
          <w:sz w:val="24"/>
          <w:szCs w:val="24"/>
        </w:rPr>
        <w:t>).</w:t>
      </w:r>
      <w:proofErr w:type="gramEnd"/>
      <w:r>
        <w:rPr>
          <w:rFonts w:ascii="Bookman Old Style" w:hAnsi="Bookman Old Style"/>
          <w:sz w:val="24"/>
          <w:szCs w:val="24"/>
        </w:rPr>
        <w:t xml:space="preserve"> </w:t>
      </w:r>
      <w:proofErr w:type="gramStart"/>
      <w:r>
        <w:rPr>
          <w:rFonts w:ascii="Bookman Old Style" w:hAnsi="Bookman Old Style"/>
          <w:sz w:val="24"/>
          <w:szCs w:val="24"/>
        </w:rPr>
        <w:t>Ad</w:t>
      </w:r>
      <w:proofErr w:type="gramEnd"/>
      <w:r>
        <w:rPr>
          <w:rFonts w:ascii="Bookman Old Style" w:hAnsi="Bookman Old Style"/>
          <w:sz w:val="24"/>
          <w:szCs w:val="24"/>
        </w:rPr>
        <w:t xml:space="preserve"> oggi alcune Regioni hanno comunque già definito un limite inferiore, diversificandolo da quello nazionale. In breve, il limite nazionale non presenta particolare utilità per dare concretamente avvio a tali processi, in considerazione delle evidenti diversità e specificità dei singoli territori.</w:t>
      </w:r>
    </w:p>
    <w:p w14:paraId="751D9BF5" w14:textId="77777777" w:rsidR="00E41A8F" w:rsidRDefault="00E41A8F" w:rsidP="00E41A8F">
      <w:pPr>
        <w:spacing w:line="200" w:lineRule="atLeast"/>
        <w:ind w:left="-142" w:right="-1"/>
        <w:jc w:val="both"/>
        <w:rPr>
          <w:rFonts w:ascii="Bookman Old Style" w:hAnsi="Bookman Old Style"/>
          <w:b/>
          <w:sz w:val="24"/>
          <w:szCs w:val="24"/>
        </w:rPr>
      </w:pPr>
      <w:r>
        <w:rPr>
          <w:rFonts w:ascii="Bookman Old Style" w:hAnsi="Bookman Old Style"/>
          <w:color w:val="000000"/>
          <w:sz w:val="24"/>
          <w:szCs w:val="24"/>
        </w:rPr>
        <w:t xml:space="preserve">La gestione associata obbligatoria come </w:t>
      </w:r>
      <w:proofErr w:type="gramStart"/>
      <w:r>
        <w:rPr>
          <w:rFonts w:ascii="Bookman Old Style" w:hAnsi="Bookman Old Style"/>
          <w:color w:val="000000"/>
          <w:sz w:val="24"/>
          <w:szCs w:val="24"/>
        </w:rPr>
        <w:t>attualmente</w:t>
      </w:r>
      <w:proofErr w:type="gramEnd"/>
      <w:r>
        <w:rPr>
          <w:rFonts w:ascii="Bookman Old Style" w:hAnsi="Bookman Old Style"/>
          <w:color w:val="000000"/>
          <w:sz w:val="24"/>
          <w:szCs w:val="24"/>
        </w:rPr>
        <w:t xml:space="preserve"> disciplinata non tiene conto della reale collocazione geografica dei Comuni che in molti casi sono contigui a Comuni non assoggettati all’obbligo. Questa condizione impedisce generalmente di poter condividere tra Comuni sopra e sotto i 5.000 </w:t>
      </w:r>
      <w:proofErr w:type="gramStart"/>
      <w:r>
        <w:rPr>
          <w:rFonts w:ascii="Bookman Old Style" w:hAnsi="Bookman Old Style"/>
          <w:color w:val="000000"/>
          <w:sz w:val="24"/>
          <w:szCs w:val="24"/>
        </w:rPr>
        <w:t>abitanti la</w:t>
      </w:r>
      <w:proofErr w:type="gramEnd"/>
      <w:r>
        <w:rPr>
          <w:rFonts w:ascii="Bookman Old Style" w:hAnsi="Bookman Old Style"/>
          <w:color w:val="000000"/>
          <w:sz w:val="24"/>
          <w:szCs w:val="24"/>
        </w:rPr>
        <w:t xml:space="preserve"> finalità dell’Associazionismo. I tentativi di gestione associata di tutte e </w:t>
      </w:r>
      <w:proofErr w:type="gramStart"/>
      <w:r>
        <w:rPr>
          <w:rFonts w:ascii="Bookman Old Style" w:hAnsi="Bookman Old Style"/>
          <w:color w:val="000000"/>
          <w:sz w:val="24"/>
          <w:szCs w:val="24"/>
        </w:rPr>
        <w:t>10</w:t>
      </w:r>
      <w:proofErr w:type="gramEnd"/>
      <w:r>
        <w:rPr>
          <w:rFonts w:ascii="Bookman Old Style" w:hAnsi="Bookman Old Style"/>
          <w:color w:val="000000"/>
          <w:sz w:val="24"/>
          <w:szCs w:val="24"/>
        </w:rPr>
        <w:t xml:space="preserve"> le funzioni fondamentali non stanno consentendo di raggiungere una maggiore economicità ed efficienza ma in molti casi un aumento della spesa o addirittura l’inibizione, anche delle esperienze già positivamente avviate, del processo associativo per oggettive difficoltà attuative.</w:t>
      </w:r>
    </w:p>
    <w:p w14:paraId="0BF50310" w14:textId="77777777" w:rsidR="00E41A8F" w:rsidRDefault="00E41A8F" w:rsidP="00E41A8F">
      <w:pPr>
        <w:spacing w:line="200" w:lineRule="atLeast"/>
        <w:ind w:left="-142" w:right="-1"/>
        <w:jc w:val="both"/>
        <w:rPr>
          <w:rFonts w:ascii="Bookman Old Style" w:hAnsi="Bookman Old Style"/>
          <w:b/>
          <w:sz w:val="24"/>
          <w:szCs w:val="24"/>
        </w:rPr>
      </w:pPr>
      <w:r>
        <w:rPr>
          <w:rFonts w:ascii="Bookman Old Style" w:hAnsi="Bookman Old Style"/>
          <w:sz w:val="24"/>
          <w:szCs w:val="24"/>
        </w:rPr>
        <w:t xml:space="preserve">In Italia, come in altri Paesi facenti parte dell’UE ma anche extra UE, si stanno adottando, ormai da alcuni anni, politiche volte alla semplificazione, razionalizzazione e riorganizzazione delle </w:t>
      </w:r>
      <w:proofErr w:type="gramStart"/>
      <w:r>
        <w:rPr>
          <w:rFonts w:ascii="Bookman Old Style" w:hAnsi="Bookman Old Style"/>
          <w:sz w:val="24"/>
          <w:szCs w:val="24"/>
        </w:rPr>
        <w:t>modalità</w:t>
      </w:r>
      <w:proofErr w:type="gramEnd"/>
      <w:r>
        <w:rPr>
          <w:rFonts w:ascii="Bookman Old Style" w:hAnsi="Bookman Old Style"/>
          <w:sz w:val="24"/>
          <w:szCs w:val="24"/>
        </w:rPr>
        <w:t xml:space="preserve"> di amministrare delle autonomie locali.</w:t>
      </w:r>
    </w:p>
    <w:p w14:paraId="5183366E" w14:textId="77777777" w:rsidR="00E41A8F" w:rsidRDefault="00E41A8F" w:rsidP="00E41A8F">
      <w:pPr>
        <w:spacing w:line="200" w:lineRule="atLeast"/>
        <w:ind w:left="-142" w:right="-1"/>
        <w:jc w:val="both"/>
        <w:rPr>
          <w:rFonts w:ascii="Bookman Old Style" w:hAnsi="Bookman Old Style"/>
          <w:b/>
          <w:sz w:val="24"/>
          <w:szCs w:val="24"/>
        </w:rPr>
      </w:pPr>
      <w:r>
        <w:rPr>
          <w:rFonts w:ascii="Bookman Old Style" w:hAnsi="Bookman Old Style"/>
          <w:sz w:val="24"/>
          <w:szCs w:val="24"/>
        </w:rPr>
        <w:t xml:space="preserve">I Comuni, </w:t>
      </w:r>
      <w:proofErr w:type="gramStart"/>
      <w:r>
        <w:rPr>
          <w:rFonts w:ascii="Bookman Old Style" w:hAnsi="Bookman Old Style"/>
          <w:sz w:val="24"/>
          <w:szCs w:val="24"/>
        </w:rPr>
        <w:t>ed</w:t>
      </w:r>
      <w:proofErr w:type="gramEnd"/>
      <w:r>
        <w:rPr>
          <w:rFonts w:ascii="Bookman Old Style" w:hAnsi="Bookman Old Style"/>
          <w:sz w:val="24"/>
          <w:szCs w:val="24"/>
        </w:rPr>
        <w:t xml:space="preserve"> i piccoli Comuni in particolare, mai come negli ultimi anni, stanno vivendo una condizione di estrema difficoltà da molti punti di vista, tale da non consentire un percorso di riorganizzazione esente da forti incertezze. Inoltre, l’applicazione del Patto di Stabilità anche ai piccoli Comuni tra i 1000 </w:t>
      </w:r>
      <w:proofErr w:type="gramStart"/>
      <w:r>
        <w:rPr>
          <w:rFonts w:ascii="Bookman Old Style" w:hAnsi="Bookman Old Style"/>
          <w:sz w:val="24"/>
          <w:szCs w:val="24"/>
        </w:rPr>
        <w:t>ed</w:t>
      </w:r>
      <w:proofErr w:type="gramEnd"/>
      <w:r>
        <w:rPr>
          <w:rFonts w:ascii="Bookman Old Style" w:hAnsi="Bookman Old Style"/>
          <w:sz w:val="24"/>
          <w:szCs w:val="24"/>
        </w:rPr>
        <w:t xml:space="preserve"> i 5000 abitanti a partire dal 2013, è apparso subito all’ANCI ed ai Comuni come una prospettiva insostenibile, non solo per il sacrificio finanziario richiesto ma anche per la sua irragionevolezza tecnica. I bilanci di questi Enti sono, infatti, di entità ridotta, </w:t>
      </w:r>
      <w:proofErr w:type="gramStart"/>
      <w:r>
        <w:rPr>
          <w:rFonts w:ascii="Bookman Old Style" w:hAnsi="Bookman Old Style"/>
          <w:sz w:val="24"/>
          <w:szCs w:val="24"/>
        </w:rPr>
        <w:t>estremamente</w:t>
      </w:r>
      <w:proofErr w:type="gramEnd"/>
      <w:r>
        <w:rPr>
          <w:rFonts w:ascii="Bookman Old Style" w:hAnsi="Bookman Old Style"/>
          <w:sz w:val="24"/>
          <w:szCs w:val="24"/>
        </w:rPr>
        <w:t xml:space="preserve"> rigidi e con una dipendenza quasi totale da fonti esterne per ciò che riguarda gli investimenti, comportando l’estrema difficoltà di governare ragionevolmente i flussi di cassa così come richiesto dal patto di stabilità. Entro il 31 dicembre 2015 (come da ultima proroga), gli stessi Enti sono altresì impegnati a costruire le gestioni associate obbligatorie sostanzialmente di tutte le loro funzioni fondamentali, uno sforzo di enorme riorganizzazione complessiva </w:t>
      </w:r>
      <w:proofErr w:type="gramStart"/>
      <w:r>
        <w:rPr>
          <w:rFonts w:ascii="Bookman Old Style" w:hAnsi="Bookman Old Style"/>
          <w:sz w:val="24"/>
          <w:szCs w:val="24"/>
        </w:rPr>
        <w:t>di per</w:t>
      </w:r>
      <w:proofErr w:type="gramEnd"/>
      <w:r>
        <w:rPr>
          <w:rFonts w:ascii="Bookman Old Style" w:hAnsi="Bookman Old Style"/>
          <w:sz w:val="24"/>
          <w:szCs w:val="24"/>
        </w:rPr>
        <w:t xml:space="preserve"> se difficile e incompatibile con la rigidità delle complesso della normativa definita su ogni </w:t>
      </w:r>
      <w:proofErr w:type="gramStart"/>
      <w:r>
        <w:rPr>
          <w:rFonts w:ascii="Bookman Old Style" w:hAnsi="Bookman Old Style"/>
          <w:sz w:val="24"/>
          <w:szCs w:val="24"/>
        </w:rPr>
        <w:t>singolo</w:t>
      </w:r>
      <w:proofErr w:type="gramEnd"/>
      <w:r>
        <w:rPr>
          <w:rFonts w:ascii="Bookman Old Style" w:hAnsi="Bookman Old Style"/>
          <w:sz w:val="24"/>
          <w:szCs w:val="24"/>
        </w:rPr>
        <w:t xml:space="preserve"> Ente. </w:t>
      </w:r>
    </w:p>
    <w:p w14:paraId="31CC0DF3" w14:textId="77777777" w:rsidR="00E41A8F" w:rsidRDefault="00E41A8F" w:rsidP="00E41A8F">
      <w:pPr>
        <w:jc w:val="both"/>
        <w:rPr>
          <w:rFonts w:ascii="Bookman Old Style" w:hAnsi="Bookman Old Style"/>
          <w:sz w:val="24"/>
          <w:szCs w:val="24"/>
        </w:rPr>
      </w:pPr>
      <w:r>
        <w:rPr>
          <w:rFonts w:ascii="Bookman Old Style" w:hAnsi="Bookman Old Style"/>
          <w:sz w:val="24"/>
          <w:szCs w:val="24"/>
        </w:rPr>
        <w:t xml:space="preserve">La razionalizzazione e la riorganizzazione del sistema delle Autonomie Locali </w:t>
      </w:r>
      <w:proofErr w:type="gramStart"/>
      <w:r>
        <w:rPr>
          <w:rFonts w:ascii="Bookman Old Style" w:hAnsi="Bookman Old Style"/>
          <w:sz w:val="24"/>
          <w:szCs w:val="24"/>
        </w:rPr>
        <w:t>deve</w:t>
      </w:r>
      <w:proofErr w:type="gramEnd"/>
      <w:r>
        <w:rPr>
          <w:rFonts w:ascii="Bookman Old Style" w:hAnsi="Bookman Old Style"/>
          <w:sz w:val="24"/>
          <w:szCs w:val="24"/>
        </w:rPr>
        <w:t xml:space="preserve"> riguardare diversi profili: 1) la semplificazione e la chiarezza dei livelli istituzionali che operano sullo stesso territorio; 2) il perseguimento dell’efficienza e dell’economicità; 3) la riduzione dei costi ma senza compromettere l’obiettivo primario, che rimane la garanzia di erogazione di servizi adeguati e di qualità ai cittadini altrimenti spinti ad un conseguente spopolamento delle aree interne; 4) </w:t>
      </w:r>
      <w:r>
        <w:rPr>
          <w:rFonts w:ascii="Bookman Old Style" w:hAnsi="Bookman Old Style"/>
          <w:sz w:val="24"/>
          <w:szCs w:val="24"/>
        </w:rPr>
        <w:lastRenderedPageBreak/>
        <w:t xml:space="preserve">una </w:t>
      </w:r>
      <w:proofErr w:type="spellStart"/>
      <w:r>
        <w:rPr>
          <w:rFonts w:ascii="Bookman Old Style" w:hAnsi="Bookman Old Style"/>
          <w:sz w:val="24"/>
          <w:szCs w:val="24"/>
        </w:rPr>
        <w:t>governance</w:t>
      </w:r>
      <w:proofErr w:type="spellEnd"/>
      <w:r>
        <w:rPr>
          <w:rFonts w:ascii="Bookman Old Style" w:hAnsi="Bookman Old Style"/>
          <w:sz w:val="24"/>
          <w:szCs w:val="24"/>
        </w:rPr>
        <w:t xml:space="preserve"> del territorio più appropriata ed efficace, garantendo rapporti interistituzionali sinergici al fine di soddisfare la domanda dei cittadini e delle comunità.</w:t>
      </w:r>
    </w:p>
    <w:p w14:paraId="7C400402" w14:textId="77777777" w:rsidR="00E41A8F" w:rsidRDefault="00E41A8F" w:rsidP="00E41A8F">
      <w:pPr>
        <w:autoSpaceDE w:val="0"/>
        <w:autoSpaceDN w:val="0"/>
        <w:adjustRightInd w:val="0"/>
        <w:jc w:val="both"/>
        <w:rPr>
          <w:rFonts w:ascii="Bookman Old Style" w:hAnsi="Bookman Old Style"/>
          <w:iCs/>
          <w:sz w:val="24"/>
          <w:szCs w:val="24"/>
        </w:rPr>
      </w:pPr>
      <w:r>
        <w:rPr>
          <w:rFonts w:ascii="Bookman Old Style" w:hAnsi="Bookman Old Style"/>
          <w:iCs/>
          <w:sz w:val="24"/>
          <w:szCs w:val="24"/>
        </w:rPr>
        <w:t xml:space="preserve">In questa direzione, ormai da quasi un </w:t>
      </w:r>
      <w:proofErr w:type="gramStart"/>
      <w:r>
        <w:rPr>
          <w:rFonts w:ascii="Bookman Old Style" w:hAnsi="Bookman Old Style"/>
          <w:iCs/>
          <w:sz w:val="24"/>
          <w:szCs w:val="24"/>
        </w:rPr>
        <w:t>ventennio i</w:t>
      </w:r>
      <w:proofErr w:type="gramEnd"/>
      <w:r>
        <w:rPr>
          <w:rFonts w:ascii="Bookman Old Style" w:hAnsi="Bookman Old Style"/>
          <w:iCs/>
          <w:sz w:val="24"/>
          <w:szCs w:val="24"/>
        </w:rPr>
        <w:t xml:space="preserve"> piccoli Comuni, in particolare, hanno avviato volontariamente un processo di federalismo dal “basso” costituendo numerose esperienze associative caratterizzate – in particolare – da nuovi e più forti modelli di gestione associata, le Unioni di Comuni.</w:t>
      </w:r>
    </w:p>
    <w:p w14:paraId="3EE6ADAC" w14:textId="77777777" w:rsidR="00E41A8F" w:rsidRDefault="00E41A8F" w:rsidP="00E41A8F">
      <w:pPr>
        <w:autoSpaceDE w:val="0"/>
        <w:autoSpaceDN w:val="0"/>
        <w:adjustRightInd w:val="0"/>
        <w:jc w:val="both"/>
        <w:rPr>
          <w:rFonts w:ascii="Bookman Old Style" w:hAnsi="Bookman Old Style"/>
          <w:iCs/>
          <w:sz w:val="24"/>
          <w:szCs w:val="24"/>
        </w:rPr>
      </w:pPr>
      <w:r>
        <w:rPr>
          <w:rFonts w:ascii="Bookman Old Style" w:hAnsi="Bookman Old Style"/>
          <w:iCs/>
          <w:sz w:val="24"/>
          <w:szCs w:val="24"/>
        </w:rPr>
        <w:t xml:space="preserve">Dalla legge n. 265 del 1999 alla legge n. 56 del 2014, passando per il dl 78/2010 che ha introdotto un regime obbligatorio per le gestioni associate, poi </w:t>
      </w:r>
      <w:proofErr w:type="spellStart"/>
      <w:r>
        <w:rPr>
          <w:rFonts w:ascii="Bookman Old Style" w:hAnsi="Bookman Old Style"/>
          <w:iCs/>
          <w:sz w:val="24"/>
          <w:szCs w:val="24"/>
        </w:rPr>
        <w:t>ridisciplinato</w:t>
      </w:r>
      <w:proofErr w:type="spellEnd"/>
      <w:r>
        <w:rPr>
          <w:rFonts w:ascii="Bookman Old Style" w:hAnsi="Bookman Old Style"/>
          <w:iCs/>
          <w:sz w:val="24"/>
          <w:szCs w:val="24"/>
        </w:rPr>
        <w:t xml:space="preserve"> con la legge n. 148 del 2011 </w:t>
      </w:r>
      <w:proofErr w:type="gramStart"/>
      <w:r>
        <w:rPr>
          <w:rFonts w:ascii="Bookman Old Style" w:hAnsi="Bookman Old Style"/>
          <w:iCs/>
          <w:sz w:val="24"/>
          <w:szCs w:val="24"/>
        </w:rPr>
        <w:t>ed</w:t>
      </w:r>
      <w:proofErr w:type="gramEnd"/>
      <w:r>
        <w:rPr>
          <w:rFonts w:ascii="Bookman Old Style" w:hAnsi="Bookman Old Style"/>
          <w:iCs/>
          <w:sz w:val="24"/>
          <w:szCs w:val="24"/>
        </w:rPr>
        <w:t xml:space="preserve"> il dl 95 del 2012, si è assistito ad una progressiva crescita e diffusione di questo Ente locale come modello associativo di riferimento che ha prodotto un “effetto volano” con un contestuale sviluppo della sensibilità degli Enti e di tutte le Istituzioni della Repubblica verso una sempre maggiore diffusione della cooperazione intercomunale nelle sue varie forme.</w:t>
      </w:r>
    </w:p>
    <w:p w14:paraId="32A17D85" w14:textId="77777777" w:rsidR="00E41A8F" w:rsidRDefault="00E41A8F" w:rsidP="00E41A8F">
      <w:pPr>
        <w:autoSpaceDE w:val="0"/>
        <w:autoSpaceDN w:val="0"/>
        <w:adjustRightInd w:val="0"/>
        <w:jc w:val="both"/>
        <w:rPr>
          <w:rFonts w:ascii="Bookman Old Style" w:hAnsi="Bookman Old Style"/>
          <w:sz w:val="24"/>
          <w:szCs w:val="24"/>
        </w:rPr>
      </w:pPr>
      <w:r>
        <w:rPr>
          <w:rFonts w:ascii="Bookman Old Style" w:hAnsi="Bookman Old Style"/>
          <w:sz w:val="24"/>
          <w:szCs w:val="24"/>
        </w:rPr>
        <w:t xml:space="preserve">La complessità del </w:t>
      </w:r>
      <w:proofErr w:type="gramStart"/>
      <w:r>
        <w:rPr>
          <w:rFonts w:ascii="Bookman Old Style" w:hAnsi="Bookman Old Style"/>
          <w:sz w:val="24"/>
          <w:szCs w:val="24"/>
        </w:rPr>
        <w:t>momento attuale</w:t>
      </w:r>
      <w:proofErr w:type="gramEnd"/>
      <w:r>
        <w:rPr>
          <w:rFonts w:ascii="Bookman Old Style" w:hAnsi="Bookman Old Style"/>
          <w:sz w:val="24"/>
          <w:szCs w:val="24"/>
        </w:rPr>
        <w:t>, sia sotto un profilo istituzionale sia per l’aggravarsi del complessivo quadro finanziario, impone oggi la necessità – a tutti i livelli – di una accelerazione ed una riflessione ancor più approfondita su queste tematiche di sistema.</w:t>
      </w:r>
    </w:p>
    <w:p w14:paraId="78592F94" w14:textId="77777777" w:rsidR="00E41A8F" w:rsidRDefault="00E41A8F" w:rsidP="00E41A8F">
      <w:pPr>
        <w:jc w:val="both"/>
        <w:rPr>
          <w:rFonts w:ascii="Bookman Old Style" w:hAnsi="Bookman Old Style"/>
          <w:sz w:val="24"/>
          <w:szCs w:val="24"/>
        </w:rPr>
      </w:pPr>
      <w:r>
        <w:rPr>
          <w:rFonts w:ascii="Bookman Old Style" w:hAnsi="Bookman Old Style"/>
          <w:sz w:val="24"/>
          <w:szCs w:val="24"/>
        </w:rPr>
        <w:t xml:space="preserve">In questo </w:t>
      </w:r>
      <w:proofErr w:type="gramStart"/>
      <w:r>
        <w:rPr>
          <w:rFonts w:ascii="Bookman Old Style" w:hAnsi="Bookman Old Style"/>
          <w:sz w:val="24"/>
          <w:szCs w:val="24"/>
        </w:rPr>
        <w:t>contesto</w:t>
      </w:r>
      <w:proofErr w:type="gramEnd"/>
      <w:r>
        <w:rPr>
          <w:rFonts w:ascii="Bookman Old Style" w:hAnsi="Bookman Old Style"/>
          <w:sz w:val="24"/>
          <w:szCs w:val="24"/>
        </w:rPr>
        <w:t>, il legislatore nazionale e regionale, comprese le Regioni a statuto speciale,  dovrà coerentemente sostenere e accompagnare – organicamente e senza incertezze – questa sfida di cambiamento, innovazione e di crescita, con normative pensate insieme al territorio che facilitino ed incentivino, prioritariamente, le gestioni associate.</w:t>
      </w:r>
    </w:p>
    <w:p w14:paraId="10833FEC" w14:textId="77777777" w:rsidR="00E41A8F" w:rsidRDefault="00E41A8F" w:rsidP="00E41A8F">
      <w:pPr>
        <w:autoSpaceDE w:val="0"/>
        <w:autoSpaceDN w:val="0"/>
        <w:adjustRightInd w:val="0"/>
        <w:jc w:val="both"/>
        <w:rPr>
          <w:rFonts w:ascii="Bookman Old Style" w:hAnsi="Bookman Old Style"/>
          <w:iCs/>
          <w:sz w:val="24"/>
          <w:szCs w:val="24"/>
        </w:rPr>
      </w:pPr>
      <w:r>
        <w:rPr>
          <w:rFonts w:ascii="Bookman Old Style" w:hAnsi="Bookman Old Style"/>
          <w:iCs/>
          <w:sz w:val="24"/>
          <w:szCs w:val="24"/>
        </w:rPr>
        <w:t xml:space="preserve">L’esercizio associato delle funzioni comunali rappresenta un banco di prova decisivo della capacità di auto rinnovarsi dei piccoli Comuni ma anche di quelli di maggiore dimensione demografica, un concreto contributo al tema dei costi delle istituzioni </w:t>
      </w:r>
      <w:proofErr w:type="gramStart"/>
      <w:r>
        <w:rPr>
          <w:rFonts w:ascii="Bookman Old Style" w:hAnsi="Bookman Old Style"/>
          <w:iCs/>
          <w:sz w:val="24"/>
          <w:szCs w:val="24"/>
        </w:rPr>
        <w:t>ed</w:t>
      </w:r>
      <w:proofErr w:type="gramEnd"/>
      <w:r>
        <w:rPr>
          <w:rFonts w:ascii="Bookman Old Style" w:hAnsi="Bookman Old Style"/>
          <w:iCs/>
          <w:sz w:val="24"/>
          <w:szCs w:val="24"/>
        </w:rPr>
        <w:t xml:space="preserve"> all’aumento della loro efficienza, della semplificazione e della capacità di gestire meglio determinati servizi, attività e uffici al servizio dei cittadini.</w:t>
      </w:r>
    </w:p>
    <w:p w14:paraId="1637FDA7" w14:textId="77777777" w:rsidR="00E41A8F" w:rsidRDefault="00E41A8F" w:rsidP="00E41A8F">
      <w:pPr>
        <w:jc w:val="both"/>
        <w:rPr>
          <w:rFonts w:ascii="Bookman Old Style" w:hAnsi="Bookman Old Style" w:cs="Arial"/>
          <w:bCs/>
          <w:sz w:val="24"/>
          <w:szCs w:val="24"/>
        </w:rPr>
      </w:pPr>
      <w:r>
        <w:rPr>
          <w:rFonts w:ascii="Bookman Old Style" w:hAnsi="Bookman Old Style" w:cs="Arial"/>
          <w:bCs/>
          <w:sz w:val="24"/>
          <w:szCs w:val="24"/>
        </w:rPr>
        <w:t xml:space="preserve">Infine, è quanto mai necessario un tempestivo chiarimento rispetto alla “portata” applicativa del Decreto del Ministero dell’Interno regolante l’istituto della Convezione tra Comuni, la cui tempistica </w:t>
      </w:r>
      <w:proofErr w:type="gramStart"/>
      <w:r>
        <w:rPr>
          <w:rFonts w:ascii="Bookman Old Style" w:hAnsi="Bookman Old Style" w:cs="Arial"/>
          <w:bCs/>
          <w:sz w:val="24"/>
          <w:szCs w:val="24"/>
        </w:rPr>
        <w:t>risulta</w:t>
      </w:r>
      <w:proofErr w:type="gramEnd"/>
      <w:r>
        <w:rPr>
          <w:rFonts w:ascii="Bookman Old Style" w:hAnsi="Bookman Old Style" w:cs="Arial"/>
          <w:bCs/>
          <w:sz w:val="24"/>
          <w:szCs w:val="24"/>
        </w:rPr>
        <w:t xml:space="preserve"> ora incoerente rispetto alle proroghe successivamente intervenute sull’obbligo di esercizio associato delle funzioni fondamentali.</w:t>
      </w:r>
    </w:p>
    <w:p w14:paraId="7D0ABCFE" w14:textId="77777777" w:rsidR="00E41A8F" w:rsidRDefault="00E41A8F" w:rsidP="00E41A8F">
      <w:pPr>
        <w:jc w:val="both"/>
        <w:rPr>
          <w:rFonts w:ascii="Bookman Old Style" w:hAnsi="Bookman Old Style"/>
          <w:b/>
          <w:sz w:val="24"/>
          <w:szCs w:val="24"/>
        </w:rPr>
      </w:pPr>
    </w:p>
    <w:p w14:paraId="20014780" w14:textId="77777777" w:rsidR="009C3A69" w:rsidRDefault="009C3A69" w:rsidP="009C3A69">
      <w:pPr>
        <w:jc w:val="center"/>
        <w:rPr>
          <w:rFonts w:ascii="Bookman Old Style" w:hAnsi="Bookman Old Style"/>
          <w:b/>
          <w:sz w:val="24"/>
          <w:szCs w:val="24"/>
        </w:rPr>
      </w:pPr>
    </w:p>
    <w:p w14:paraId="6C20AA47" w14:textId="77777777" w:rsidR="009C3A69" w:rsidRPr="0097270F" w:rsidRDefault="009C3A69" w:rsidP="009C3A69">
      <w:pPr>
        <w:jc w:val="center"/>
        <w:rPr>
          <w:rFonts w:ascii="Bookman Old Style" w:hAnsi="Bookman Old Style"/>
          <w:b/>
          <w:sz w:val="24"/>
          <w:szCs w:val="24"/>
        </w:rPr>
      </w:pPr>
      <w:r w:rsidRPr="0097270F">
        <w:rPr>
          <w:rFonts w:ascii="Bookman Old Style" w:hAnsi="Bookman Old Style"/>
          <w:b/>
          <w:sz w:val="24"/>
          <w:szCs w:val="24"/>
        </w:rPr>
        <w:t>Articolo</w:t>
      </w:r>
    </w:p>
    <w:p w14:paraId="3C314926" w14:textId="77777777" w:rsidR="009C3A69" w:rsidRDefault="009C3A69" w:rsidP="009C3A69">
      <w:pPr>
        <w:jc w:val="both"/>
        <w:rPr>
          <w:rFonts w:ascii="Bookman Old Style" w:hAnsi="Bookman Old Style"/>
          <w:sz w:val="24"/>
          <w:szCs w:val="24"/>
        </w:rPr>
      </w:pPr>
    </w:p>
    <w:p w14:paraId="49D00B40" w14:textId="77777777" w:rsidR="009C3A69" w:rsidRPr="0097270F" w:rsidRDefault="009C3A69" w:rsidP="009C3A69">
      <w:pPr>
        <w:jc w:val="both"/>
        <w:rPr>
          <w:rFonts w:ascii="Bookman Old Style" w:hAnsi="Bookman Old Style"/>
          <w:sz w:val="24"/>
          <w:szCs w:val="24"/>
        </w:rPr>
      </w:pPr>
      <w:r w:rsidRPr="0097270F">
        <w:rPr>
          <w:rFonts w:ascii="Bookman Old Style" w:hAnsi="Bookman Old Style"/>
          <w:sz w:val="24"/>
          <w:szCs w:val="24"/>
        </w:rPr>
        <w:t xml:space="preserve">“1. Al fine di sostenere e incrementare i processi di gestione associata, i termini di cui al comma 31-ter, dell’articolo </w:t>
      </w:r>
      <w:proofErr w:type="gramStart"/>
      <w:r w:rsidRPr="0097270F">
        <w:rPr>
          <w:rFonts w:ascii="Bookman Old Style" w:hAnsi="Bookman Old Style"/>
          <w:sz w:val="24"/>
          <w:szCs w:val="24"/>
        </w:rPr>
        <w:t>14</w:t>
      </w:r>
      <w:proofErr w:type="gramEnd"/>
      <w:r w:rsidRPr="0097270F">
        <w:rPr>
          <w:rFonts w:ascii="Bookman Old Style" w:hAnsi="Bookman Old Style"/>
          <w:sz w:val="24"/>
          <w:szCs w:val="24"/>
        </w:rPr>
        <w:t xml:space="preserve"> del decreto legge 31 maggio 2010, n. 78, convertito nella legge 30 luglio 2010, n.122 e </w:t>
      </w:r>
      <w:proofErr w:type="spellStart"/>
      <w:r w:rsidRPr="0097270F">
        <w:rPr>
          <w:rFonts w:ascii="Bookman Old Style" w:hAnsi="Bookman Old Style"/>
          <w:sz w:val="24"/>
          <w:szCs w:val="24"/>
        </w:rPr>
        <w:t>s.m.i</w:t>
      </w:r>
      <w:proofErr w:type="spellEnd"/>
      <w:r w:rsidRPr="0097270F">
        <w:rPr>
          <w:rFonts w:ascii="Bookman Old Style" w:hAnsi="Bookman Old Style"/>
          <w:sz w:val="24"/>
          <w:szCs w:val="24"/>
        </w:rPr>
        <w:t>, sono sospesi in relazione alla revisione della normativa sulle gestioni associate delle funzioni comunali e all’attuazione delle riforme previste per le Città metropolitane e le Province dalla legge 7 aprile 2014, n. 56.”</w:t>
      </w:r>
    </w:p>
    <w:p w14:paraId="4D4C64ED" w14:textId="77777777" w:rsidR="009C3A69" w:rsidRPr="0097270F" w:rsidRDefault="009C3A69" w:rsidP="009C3A69">
      <w:pPr>
        <w:jc w:val="both"/>
        <w:rPr>
          <w:rFonts w:ascii="Bookman Old Style" w:hAnsi="Bookman Old Style"/>
          <w:sz w:val="24"/>
          <w:szCs w:val="24"/>
        </w:rPr>
      </w:pPr>
    </w:p>
    <w:p w14:paraId="06C8A74D" w14:textId="77777777" w:rsidR="009C3A69" w:rsidRPr="0097270F" w:rsidRDefault="009C3A69" w:rsidP="009C3A69">
      <w:pPr>
        <w:pStyle w:val="provvestremo"/>
        <w:shd w:val="clear" w:color="auto" w:fill="FFFFFF"/>
        <w:spacing w:before="0" w:beforeAutospacing="0" w:after="0" w:afterAutospacing="0"/>
        <w:jc w:val="center"/>
        <w:rPr>
          <w:rStyle w:val="anchorantimarker"/>
          <w:b/>
          <w:bCs/>
        </w:rPr>
      </w:pPr>
      <w:r w:rsidRPr="0097270F">
        <w:rPr>
          <w:rStyle w:val="anchorantimarker"/>
          <w:rFonts w:ascii="Bookman Old Style" w:hAnsi="Bookman Old Style"/>
          <w:b/>
          <w:bCs/>
        </w:rPr>
        <w:t>Motivazione</w:t>
      </w:r>
    </w:p>
    <w:p w14:paraId="5AC6E839" w14:textId="77777777" w:rsidR="009C3A69" w:rsidRPr="0097270F" w:rsidRDefault="009C3A69" w:rsidP="009C3A69">
      <w:pPr>
        <w:pStyle w:val="provvestremo"/>
        <w:shd w:val="clear" w:color="auto" w:fill="FFFFFF"/>
        <w:spacing w:before="0" w:beforeAutospacing="0" w:after="0" w:afterAutospacing="0"/>
        <w:jc w:val="both"/>
        <w:rPr>
          <w:rStyle w:val="anchorantimarker"/>
          <w:rFonts w:ascii="Bookman Old Style" w:hAnsi="Bookman Old Style"/>
          <w:b/>
          <w:bCs/>
        </w:rPr>
      </w:pPr>
    </w:p>
    <w:p w14:paraId="1BC7B5D7" w14:textId="77777777" w:rsidR="009C3A69" w:rsidRPr="0097270F" w:rsidRDefault="009C3A69" w:rsidP="009C3A69">
      <w:pPr>
        <w:jc w:val="both"/>
        <w:rPr>
          <w:rFonts w:ascii="Calibri" w:hAnsi="Calibri"/>
          <w:i/>
          <w:iCs/>
          <w:sz w:val="24"/>
          <w:szCs w:val="24"/>
        </w:rPr>
      </w:pPr>
      <w:r w:rsidRPr="0097270F">
        <w:rPr>
          <w:rFonts w:ascii="Bookman Old Style" w:hAnsi="Bookman Old Style"/>
          <w:i/>
          <w:iCs/>
          <w:sz w:val="24"/>
          <w:szCs w:val="24"/>
        </w:rPr>
        <w:t xml:space="preserve">La previsione normativa sull'obbligatorietà dei processi associativi per le funzioni fondamentali dei piccoli Comuni, con vincoli spesso inattuabili e di varia natura, </w:t>
      </w:r>
      <w:proofErr w:type="gramStart"/>
      <w:r w:rsidRPr="0097270F">
        <w:rPr>
          <w:rFonts w:ascii="Bookman Old Style" w:hAnsi="Bookman Old Style"/>
          <w:i/>
          <w:iCs/>
          <w:sz w:val="24"/>
          <w:szCs w:val="24"/>
        </w:rPr>
        <w:lastRenderedPageBreak/>
        <w:t>necessita di</w:t>
      </w:r>
      <w:proofErr w:type="gramEnd"/>
      <w:r w:rsidRPr="0097270F">
        <w:rPr>
          <w:rFonts w:ascii="Bookman Old Style" w:hAnsi="Bookman Old Style"/>
          <w:i/>
          <w:iCs/>
          <w:sz w:val="24"/>
          <w:szCs w:val="24"/>
        </w:rPr>
        <w:t xml:space="preserve"> una revisione sia per le oggettive difficoltà nel realizzare processi di gestione associata efficienti con i vincoli attuali, sia in relazione al complesso riordino delle Province come previsto dalla legge 56/2014, nonché tenendo conto delle normative regionali che sono state emanate nel frattempo in maniera non sempre organica e in alcuni casi non ancora intervenute.</w:t>
      </w:r>
    </w:p>
    <w:p w14:paraId="5797B87E" w14:textId="77777777" w:rsidR="009C3A69" w:rsidRPr="0097270F" w:rsidRDefault="009C3A69" w:rsidP="009C3A69">
      <w:pPr>
        <w:jc w:val="both"/>
        <w:rPr>
          <w:i/>
          <w:iCs/>
          <w:sz w:val="24"/>
          <w:szCs w:val="24"/>
        </w:rPr>
      </w:pPr>
      <w:r w:rsidRPr="0097270F">
        <w:rPr>
          <w:rFonts w:ascii="Bookman Old Style" w:hAnsi="Bookman Old Style"/>
          <w:i/>
          <w:iCs/>
          <w:sz w:val="24"/>
          <w:szCs w:val="24"/>
        </w:rPr>
        <w:t xml:space="preserve">Inoltre, l’impianto normativo attuale non consente di realizzare processi produttivi di riduzione certa della spesa e non sono comunque conseguibili e valutabili se non in un periodo medio, come riscontrato dalla stessa Corte dei Conti nell’audizione tenutasi </w:t>
      </w:r>
      <w:proofErr w:type="gramStart"/>
      <w:r w:rsidRPr="0097270F">
        <w:rPr>
          <w:rFonts w:ascii="Bookman Old Style" w:hAnsi="Bookman Old Style"/>
          <w:i/>
          <w:iCs/>
          <w:sz w:val="24"/>
          <w:szCs w:val="24"/>
        </w:rPr>
        <w:t xml:space="preserve">il </w:t>
      </w:r>
      <w:proofErr w:type="gramEnd"/>
      <w:r w:rsidRPr="0097270F">
        <w:rPr>
          <w:rFonts w:ascii="Bookman Old Style" w:hAnsi="Bookman Old Style"/>
          <w:i/>
          <w:iCs/>
          <w:sz w:val="24"/>
          <w:szCs w:val="24"/>
        </w:rPr>
        <w:t>1 dicembre 2015 presso la I Commissione della Camera dei Deputati.</w:t>
      </w:r>
    </w:p>
    <w:p w14:paraId="728DAD3C" w14:textId="77777777" w:rsidR="009C3A69" w:rsidRPr="0097270F" w:rsidRDefault="009C3A69" w:rsidP="009C3A69">
      <w:pPr>
        <w:jc w:val="both"/>
        <w:rPr>
          <w:rFonts w:ascii="Calibri" w:hAnsi="Calibri"/>
          <w:color w:val="1F497D"/>
          <w:sz w:val="24"/>
          <w:szCs w:val="24"/>
        </w:rPr>
      </w:pPr>
      <w:r w:rsidRPr="0097270F">
        <w:rPr>
          <w:rFonts w:ascii="Bookman Old Style" w:hAnsi="Bookman Old Style"/>
          <w:i/>
          <w:iCs/>
          <w:sz w:val="24"/>
          <w:szCs w:val="24"/>
        </w:rPr>
        <w:t xml:space="preserve">Per una reale ed efficace costruzione di tali processi associativi che l’ANCI sostiene da sempre, occorre innanzitutto un quadro normativo più </w:t>
      </w:r>
      <w:proofErr w:type="gramStart"/>
      <w:r w:rsidRPr="0097270F">
        <w:rPr>
          <w:rFonts w:ascii="Bookman Old Style" w:hAnsi="Bookman Old Style"/>
          <w:i/>
          <w:iCs/>
          <w:sz w:val="24"/>
          <w:szCs w:val="24"/>
        </w:rPr>
        <w:t>incentivante</w:t>
      </w:r>
      <w:proofErr w:type="gramEnd"/>
      <w:r w:rsidRPr="0097270F">
        <w:rPr>
          <w:rFonts w:ascii="Bookman Old Style" w:hAnsi="Bookman Old Style"/>
          <w:i/>
          <w:iCs/>
          <w:sz w:val="24"/>
          <w:szCs w:val="24"/>
        </w:rPr>
        <w:t>, premiale e semplificato, sia a livello statale che regionale, prendendo atto delle forti criticità tuttora esistenti e che non hanno prodotto i risultati auspicati dal legislatore, pur registrandosi un forte impegno in tal senso da parte delle Amministrazioni locali</w:t>
      </w:r>
    </w:p>
    <w:p w14:paraId="403BD37A" w14:textId="77777777" w:rsidR="0097270F" w:rsidRDefault="0097270F" w:rsidP="0097270F">
      <w:pPr>
        <w:pStyle w:val="Paragrafoelenco"/>
        <w:spacing w:line="240" w:lineRule="auto"/>
        <w:ind w:left="1095"/>
        <w:jc w:val="center"/>
        <w:rPr>
          <w:rFonts w:ascii="Bookman Old Style" w:hAnsi="Bookman Old Style"/>
          <w:b/>
          <w:sz w:val="24"/>
          <w:szCs w:val="24"/>
        </w:rPr>
      </w:pPr>
    </w:p>
    <w:p w14:paraId="522CD2C0" w14:textId="77777777" w:rsidR="009C3A69" w:rsidRDefault="009C3A69" w:rsidP="0097270F">
      <w:pPr>
        <w:pStyle w:val="Paragrafoelenco"/>
        <w:spacing w:line="240" w:lineRule="auto"/>
        <w:ind w:left="1095"/>
        <w:jc w:val="center"/>
        <w:rPr>
          <w:rFonts w:ascii="Bookman Old Style" w:hAnsi="Bookman Old Style"/>
          <w:b/>
          <w:sz w:val="24"/>
          <w:szCs w:val="24"/>
        </w:rPr>
      </w:pPr>
    </w:p>
    <w:p w14:paraId="1C9DEB04" w14:textId="77777777" w:rsidR="009C3A69" w:rsidRPr="0097270F" w:rsidRDefault="009C3A69" w:rsidP="0097270F">
      <w:pPr>
        <w:pStyle w:val="Paragrafoelenco"/>
        <w:spacing w:line="240" w:lineRule="auto"/>
        <w:ind w:left="1095"/>
        <w:jc w:val="center"/>
        <w:rPr>
          <w:rFonts w:ascii="Bookman Old Style" w:hAnsi="Bookman Old Style"/>
          <w:b/>
          <w:sz w:val="24"/>
          <w:szCs w:val="24"/>
        </w:rPr>
      </w:pPr>
    </w:p>
    <w:p w14:paraId="714DB511" w14:textId="77777777" w:rsidR="0097270F" w:rsidRPr="006A03F5" w:rsidRDefault="009C3A69" w:rsidP="0097270F">
      <w:pPr>
        <w:pStyle w:val="Titolo3"/>
        <w:spacing w:line="240" w:lineRule="auto"/>
        <w:jc w:val="center"/>
        <w:rPr>
          <w:rFonts w:ascii="Bookman Old Style" w:hAnsi="Bookman Old Style"/>
          <w:color w:val="auto"/>
          <w:sz w:val="24"/>
          <w:szCs w:val="24"/>
        </w:rPr>
      </w:pPr>
      <w:bookmarkStart w:id="1" w:name="_Toc433114494"/>
      <w:r w:rsidRPr="006A03F5">
        <w:rPr>
          <w:rFonts w:ascii="Bookman Old Style" w:hAnsi="Bookman Old Style"/>
          <w:color w:val="auto"/>
          <w:sz w:val="24"/>
          <w:szCs w:val="24"/>
        </w:rPr>
        <w:t>SEMPLIFICAZIONE, INCENTIVAZIONE E PREMIALIT</w:t>
      </w:r>
      <w:bookmarkEnd w:id="1"/>
      <w:r>
        <w:rPr>
          <w:rFonts w:ascii="Bookman Old Style" w:hAnsi="Bookman Old Style"/>
          <w:color w:val="auto"/>
          <w:sz w:val="24"/>
          <w:szCs w:val="24"/>
        </w:rPr>
        <w:t>À GESTIONI ASSOCIATE</w:t>
      </w:r>
    </w:p>
    <w:p w14:paraId="4D284B5B" w14:textId="77777777" w:rsidR="0097270F" w:rsidRPr="006A03F5" w:rsidRDefault="0097270F" w:rsidP="0097270F">
      <w:pPr>
        <w:rPr>
          <w:rFonts w:ascii="Bookman Old Style" w:hAnsi="Bookman Old Style"/>
          <w:sz w:val="24"/>
          <w:szCs w:val="24"/>
        </w:rPr>
      </w:pPr>
    </w:p>
    <w:p w14:paraId="1DDFB768" w14:textId="77777777" w:rsidR="0097270F" w:rsidRPr="006A03F5" w:rsidRDefault="0097270F" w:rsidP="0097270F">
      <w:pPr>
        <w:rPr>
          <w:rFonts w:ascii="Bookman Old Style" w:hAnsi="Bookman Old Style"/>
          <w:sz w:val="24"/>
          <w:szCs w:val="24"/>
        </w:rPr>
      </w:pPr>
      <w:r w:rsidRPr="006A03F5">
        <w:rPr>
          <w:rFonts w:ascii="Bookman Old Style" w:hAnsi="Bookman Old Style"/>
          <w:sz w:val="24"/>
          <w:szCs w:val="24"/>
        </w:rPr>
        <w:t xml:space="preserve">Aggiungere il seguente articolo: </w:t>
      </w:r>
    </w:p>
    <w:p w14:paraId="2A8BBFFD" w14:textId="77777777" w:rsidR="0097270F" w:rsidRPr="006A03F5" w:rsidRDefault="0097270F" w:rsidP="0097270F">
      <w:pPr>
        <w:pStyle w:val="Standard"/>
        <w:jc w:val="center"/>
        <w:rPr>
          <w:rFonts w:ascii="Bookman Old Style" w:hAnsi="Bookman Old Style"/>
          <w:i/>
          <w:color w:val="000000"/>
          <w:sz w:val="24"/>
          <w:szCs w:val="24"/>
        </w:rPr>
      </w:pPr>
    </w:p>
    <w:p w14:paraId="4E511105" w14:textId="77777777" w:rsidR="0097270F" w:rsidRPr="006A03F5" w:rsidRDefault="0097270F" w:rsidP="0097270F">
      <w:pPr>
        <w:pStyle w:val="Standard"/>
        <w:jc w:val="center"/>
        <w:rPr>
          <w:rFonts w:ascii="Bookman Old Style" w:hAnsi="Bookman Old Style"/>
          <w:b/>
          <w:color w:val="000000"/>
          <w:sz w:val="24"/>
          <w:szCs w:val="24"/>
        </w:rPr>
      </w:pPr>
      <w:r w:rsidRPr="006A03F5">
        <w:rPr>
          <w:rFonts w:ascii="Bookman Old Style" w:hAnsi="Bookman Old Style"/>
          <w:b/>
          <w:color w:val="000000"/>
          <w:sz w:val="24"/>
          <w:szCs w:val="24"/>
        </w:rPr>
        <w:t>Art.</w:t>
      </w:r>
    </w:p>
    <w:p w14:paraId="1706CAEE" w14:textId="77777777" w:rsidR="0097270F" w:rsidRPr="006A03F5" w:rsidRDefault="0097270F" w:rsidP="0097270F">
      <w:pPr>
        <w:pStyle w:val="Standard"/>
        <w:jc w:val="center"/>
        <w:rPr>
          <w:rFonts w:ascii="Bookman Old Style" w:hAnsi="Bookman Old Style"/>
          <w:b/>
          <w:color w:val="000000"/>
          <w:sz w:val="24"/>
          <w:szCs w:val="24"/>
        </w:rPr>
      </w:pPr>
    </w:p>
    <w:p w14:paraId="7AA3C554" w14:textId="77777777" w:rsidR="0097270F" w:rsidRPr="009C3A69" w:rsidRDefault="0097270F" w:rsidP="0097270F">
      <w:pPr>
        <w:pStyle w:val="Paragrafoelenco"/>
        <w:numPr>
          <w:ilvl w:val="0"/>
          <w:numId w:val="2"/>
        </w:numPr>
        <w:suppressAutoHyphens/>
        <w:autoSpaceDN w:val="0"/>
        <w:spacing w:line="240" w:lineRule="auto"/>
        <w:jc w:val="both"/>
        <w:textAlignment w:val="baseline"/>
        <w:rPr>
          <w:rFonts w:ascii="Bookman Old Style" w:hAnsi="Bookman Old Style"/>
          <w:sz w:val="24"/>
          <w:szCs w:val="24"/>
        </w:rPr>
      </w:pPr>
      <w:r w:rsidRPr="006A03F5">
        <w:rPr>
          <w:rFonts w:ascii="Bookman Old Style" w:hAnsi="Bookman Old Style"/>
          <w:color w:val="000000"/>
          <w:sz w:val="24"/>
          <w:szCs w:val="24"/>
        </w:rPr>
        <w:t xml:space="preserve">I consigli delle città metropolitane e delle provincie, su proposta del sindaco metropolitano o del presidente della provincia, </w:t>
      </w:r>
      <w:proofErr w:type="gramStart"/>
      <w:r w:rsidRPr="006A03F5">
        <w:rPr>
          <w:rFonts w:ascii="Bookman Old Style" w:hAnsi="Bookman Old Style"/>
          <w:color w:val="000000"/>
          <w:sz w:val="24"/>
          <w:szCs w:val="24"/>
        </w:rPr>
        <w:t>nonché</w:t>
      </w:r>
      <w:proofErr w:type="gramEnd"/>
      <w:r w:rsidRPr="006A03F5">
        <w:rPr>
          <w:rFonts w:ascii="Bookman Old Style" w:hAnsi="Bookman Old Style"/>
          <w:color w:val="000000"/>
          <w:sz w:val="24"/>
          <w:szCs w:val="24"/>
        </w:rPr>
        <w:t xml:space="preserve"> su proposta dei sindaci interessati approvano</w:t>
      </w:r>
      <w:r w:rsidR="009C3A69">
        <w:rPr>
          <w:rFonts w:ascii="Bookman Old Style" w:hAnsi="Bookman Old Style"/>
          <w:color w:val="000000"/>
          <w:sz w:val="24"/>
          <w:szCs w:val="24"/>
        </w:rPr>
        <w:t>,</w:t>
      </w:r>
      <w:r w:rsidRPr="006A03F5">
        <w:rPr>
          <w:rFonts w:ascii="Bookman Old Style" w:hAnsi="Bookman Old Style"/>
          <w:color w:val="000000"/>
          <w:sz w:val="24"/>
          <w:szCs w:val="24"/>
        </w:rPr>
        <w:t xml:space="preserve"> </w:t>
      </w:r>
      <w:r w:rsidRPr="009C3A69">
        <w:rPr>
          <w:rFonts w:ascii="Bookman Old Style" w:hAnsi="Bookman Old Style"/>
          <w:color w:val="000000"/>
          <w:sz w:val="24"/>
          <w:szCs w:val="24"/>
        </w:rPr>
        <w:t>entro sei mesi dall’entrata in vigore della presente legge</w:t>
      </w:r>
      <w:r w:rsidR="009C3A69">
        <w:rPr>
          <w:rFonts w:ascii="Bookman Old Style" w:hAnsi="Bookman Old Style"/>
          <w:color w:val="000000"/>
          <w:sz w:val="24"/>
          <w:szCs w:val="24"/>
        </w:rPr>
        <w:t>,</w:t>
      </w:r>
      <w:r w:rsidRPr="009C3A69">
        <w:rPr>
          <w:rFonts w:ascii="Bookman Old Style" w:hAnsi="Bookman Old Style"/>
          <w:color w:val="000000"/>
          <w:sz w:val="24"/>
          <w:szCs w:val="24"/>
        </w:rPr>
        <w:t xml:space="preserve"> un piano finalizzato alla individuazione degli ambiti adeguati e omogenei per l’esercizio delle funzioni fondamentali, da esercitarsi attraverso </w:t>
      </w:r>
      <w:r w:rsidR="008F31E0" w:rsidRPr="009C3A69">
        <w:rPr>
          <w:rFonts w:ascii="Bookman Old Style" w:hAnsi="Bookman Old Style"/>
          <w:color w:val="000000"/>
          <w:sz w:val="24"/>
          <w:szCs w:val="24"/>
        </w:rPr>
        <w:t>u</w:t>
      </w:r>
      <w:r w:rsidRPr="009C3A69">
        <w:rPr>
          <w:rFonts w:ascii="Bookman Old Style" w:hAnsi="Bookman Old Style"/>
          <w:color w:val="000000"/>
          <w:sz w:val="24"/>
          <w:szCs w:val="24"/>
        </w:rPr>
        <w:t xml:space="preserve">nioni </w:t>
      </w:r>
      <w:r w:rsidR="0043039B" w:rsidRPr="009C3A69">
        <w:rPr>
          <w:rFonts w:ascii="Bookman Old Style" w:hAnsi="Bookman Old Style"/>
          <w:color w:val="000000"/>
          <w:sz w:val="24"/>
          <w:szCs w:val="24"/>
        </w:rPr>
        <w:t xml:space="preserve">di </w:t>
      </w:r>
      <w:r w:rsidR="008F31E0" w:rsidRPr="009C3A69">
        <w:rPr>
          <w:rFonts w:ascii="Bookman Old Style" w:hAnsi="Bookman Old Style"/>
          <w:color w:val="000000"/>
          <w:sz w:val="24"/>
          <w:szCs w:val="24"/>
        </w:rPr>
        <w:t>c</w:t>
      </w:r>
      <w:r w:rsidR="0043039B" w:rsidRPr="009C3A69">
        <w:rPr>
          <w:rFonts w:ascii="Bookman Old Style" w:hAnsi="Bookman Old Style"/>
          <w:color w:val="000000"/>
          <w:sz w:val="24"/>
          <w:szCs w:val="24"/>
        </w:rPr>
        <w:t xml:space="preserve">omuni </w:t>
      </w:r>
      <w:r w:rsidRPr="009C3A69">
        <w:rPr>
          <w:rFonts w:ascii="Bookman Old Style" w:hAnsi="Bookman Old Style"/>
          <w:color w:val="000000"/>
          <w:sz w:val="24"/>
          <w:szCs w:val="24"/>
        </w:rPr>
        <w:t>o convenzioni</w:t>
      </w:r>
      <w:r w:rsidR="0043039B" w:rsidRPr="009C3A69">
        <w:rPr>
          <w:rFonts w:ascii="Bookman Old Style" w:hAnsi="Bookman Old Style"/>
          <w:color w:val="000000"/>
          <w:sz w:val="24"/>
          <w:szCs w:val="24"/>
        </w:rPr>
        <w:t xml:space="preserve"> di cui, rispettivamente, agli articoli 32 e 30 del </w:t>
      </w:r>
      <w:proofErr w:type="spellStart"/>
      <w:r w:rsidR="0043039B" w:rsidRPr="009C3A69">
        <w:rPr>
          <w:rFonts w:ascii="Bookman Old Style" w:hAnsi="Bookman Old Style"/>
          <w:color w:val="000000"/>
          <w:sz w:val="24"/>
          <w:szCs w:val="24"/>
        </w:rPr>
        <w:t>Dlgs</w:t>
      </w:r>
      <w:proofErr w:type="spellEnd"/>
      <w:r w:rsidR="0043039B" w:rsidRPr="009C3A69">
        <w:rPr>
          <w:rFonts w:ascii="Bookman Old Style" w:hAnsi="Bookman Old Style"/>
          <w:color w:val="000000"/>
          <w:sz w:val="24"/>
          <w:szCs w:val="24"/>
        </w:rPr>
        <w:t xml:space="preserve">. 18 agosto 2000, n. 267. </w:t>
      </w:r>
    </w:p>
    <w:p w14:paraId="77D6228B" w14:textId="77777777" w:rsidR="0097270F" w:rsidRPr="006A03F5" w:rsidRDefault="0097270F" w:rsidP="0097270F">
      <w:pPr>
        <w:pStyle w:val="Paragrafoelenco"/>
        <w:numPr>
          <w:ilvl w:val="0"/>
          <w:numId w:val="2"/>
        </w:numPr>
        <w:suppressAutoHyphens/>
        <w:autoSpaceDN w:val="0"/>
        <w:spacing w:line="240" w:lineRule="auto"/>
        <w:jc w:val="both"/>
        <w:textAlignment w:val="baseline"/>
        <w:rPr>
          <w:rFonts w:ascii="Bookman Old Style" w:hAnsi="Bookman Old Style"/>
          <w:color w:val="000000"/>
          <w:sz w:val="24"/>
          <w:szCs w:val="24"/>
        </w:rPr>
      </w:pPr>
      <w:r w:rsidRPr="006A03F5">
        <w:rPr>
          <w:rFonts w:ascii="Bookman Old Style" w:hAnsi="Bookman Old Style"/>
          <w:color w:val="000000"/>
          <w:sz w:val="24"/>
          <w:szCs w:val="24"/>
        </w:rPr>
        <w:t xml:space="preserve">Negli ambiti adeguati e omogenei dovranno essere gestite non meno di tre funzioni fondamentali, </w:t>
      </w:r>
      <w:proofErr w:type="gramStart"/>
      <w:r w:rsidRPr="006A03F5">
        <w:rPr>
          <w:rFonts w:ascii="Bookman Old Style" w:hAnsi="Bookman Old Style"/>
          <w:color w:val="000000"/>
          <w:sz w:val="24"/>
          <w:szCs w:val="24"/>
        </w:rPr>
        <w:t>oltre quelle</w:t>
      </w:r>
      <w:proofErr w:type="gramEnd"/>
      <w:r w:rsidRPr="006A03F5">
        <w:rPr>
          <w:rFonts w:ascii="Bookman Old Style" w:hAnsi="Bookman Old Style"/>
          <w:color w:val="000000"/>
          <w:sz w:val="24"/>
          <w:szCs w:val="24"/>
        </w:rPr>
        <w:t xml:space="preserve"> relative ai sistemi informatici.</w:t>
      </w:r>
    </w:p>
    <w:p w14:paraId="6CF83896" w14:textId="77777777" w:rsidR="0097270F" w:rsidRPr="006A03F5" w:rsidRDefault="0097270F" w:rsidP="0097270F">
      <w:pPr>
        <w:pStyle w:val="Paragrafoelenco"/>
        <w:numPr>
          <w:ilvl w:val="0"/>
          <w:numId w:val="2"/>
        </w:numPr>
        <w:suppressAutoHyphens/>
        <w:autoSpaceDN w:val="0"/>
        <w:spacing w:line="240" w:lineRule="auto"/>
        <w:jc w:val="both"/>
        <w:textAlignment w:val="baseline"/>
        <w:rPr>
          <w:rFonts w:ascii="Bookman Old Style" w:hAnsi="Bookman Old Style"/>
          <w:color w:val="000000"/>
          <w:sz w:val="24"/>
          <w:szCs w:val="24"/>
        </w:rPr>
      </w:pPr>
      <w:r w:rsidRPr="006A03F5">
        <w:rPr>
          <w:rFonts w:ascii="Bookman Old Style" w:hAnsi="Bookman Old Style"/>
          <w:color w:val="000000"/>
          <w:sz w:val="24"/>
          <w:szCs w:val="24"/>
        </w:rPr>
        <w:t xml:space="preserve">Sul piano approvato dal </w:t>
      </w:r>
      <w:proofErr w:type="gramStart"/>
      <w:r w:rsidRPr="006A03F5">
        <w:rPr>
          <w:rFonts w:ascii="Bookman Old Style" w:hAnsi="Bookman Old Style"/>
          <w:color w:val="000000"/>
          <w:sz w:val="24"/>
          <w:szCs w:val="24"/>
        </w:rPr>
        <w:t>consiglio</w:t>
      </w:r>
      <w:proofErr w:type="gramEnd"/>
      <w:r w:rsidRPr="006A03F5">
        <w:rPr>
          <w:rFonts w:ascii="Bookman Old Style" w:hAnsi="Bookman Old Style"/>
          <w:color w:val="000000"/>
          <w:sz w:val="24"/>
          <w:szCs w:val="24"/>
        </w:rPr>
        <w:t xml:space="preserve"> è sentita la Regione che deve esprimersi entro </w:t>
      </w:r>
      <w:r w:rsidR="00303029" w:rsidRPr="006A03F5">
        <w:rPr>
          <w:rFonts w:ascii="Bookman Old Style" w:hAnsi="Bookman Old Style"/>
          <w:color w:val="000000"/>
          <w:sz w:val="24"/>
          <w:szCs w:val="24"/>
        </w:rPr>
        <w:t>novanta</w:t>
      </w:r>
      <w:r w:rsidRPr="006A03F5">
        <w:rPr>
          <w:rFonts w:ascii="Bookman Old Style" w:hAnsi="Bookman Old Style"/>
          <w:color w:val="000000"/>
          <w:sz w:val="24"/>
          <w:szCs w:val="24"/>
        </w:rPr>
        <w:t xml:space="preserve"> giorni, decorsi i quali</w:t>
      </w:r>
      <w:r w:rsidR="00303029" w:rsidRPr="006A03F5">
        <w:rPr>
          <w:rFonts w:ascii="Bookman Old Style" w:hAnsi="Bookman Old Style"/>
          <w:color w:val="000000"/>
          <w:sz w:val="24"/>
          <w:szCs w:val="24"/>
        </w:rPr>
        <w:t>,</w:t>
      </w:r>
      <w:r w:rsidRPr="006A03F5">
        <w:rPr>
          <w:rFonts w:ascii="Bookman Old Style" w:hAnsi="Bookman Old Style"/>
          <w:color w:val="000000"/>
          <w:sz w:val="24"/>
          <w:szCs w:val="24"/>
        </w:rPr>
        <w:t xml:space="preserve"> senza che la Regione si sia pronunciata, il parere si intende favorevole. Esso </w:t>
      </w:r>
      <w:proofErr w:type="gramStart"/>
      <w:r w:rsidRPr="006A03F5">
        <w:rPr>
          <w:rFonts w:ascii="Bookman Old Style" w:hAnsi="Bookman Old Style"/>
          <w:color w:val="000000"/>
          <w:sz w:val="24"/>
          <w:szCs w:val="24"/>
        </w:rPr>
        <w:t>viene</w:t>
      </w:r>
      <w:proofErr w:type="gramEnd"/>
      <w:r w:rsidRPr="006A03F5">
        <w:rPr>
          <w:rFonts w:ascii="Bookman Old Style" w:hAnsi="Bookman Old Style"/>
          <w:color w:val="000000"/>
          <w:sz w:val="24"/>
          <w:szCs w:val="24"/>
        </w:rPr>
        <w:t xml:space="preserve"> poi sottoposto per la definitiva adozione alla </w:t>
      </w:r>
      <w:r w:rsidR="00303029" w:rsidRPr="006A03F5">
        <w:rPr>
          <w:rFonts w:ascii="Bookman Old Style" w:hAnsi="Bookman Old Style"/>
          <w:color w:val="000000"/>
          <w:sz w:val="24"/>
          <w:szCs w:val="24"/>
        </w:rPr>
        <w:t>votazione della Conferenza dei S</w:t>
      </w:r>
      <w:r w:rsidRPr="006A03F5">
        <w:rPr>
          <w:rFonts w:ascii="Bookman Old Style" w:hAnsi="Bookman Old Style"/>
          <w:color w:val="000000"/>
          <w:sz w:val="24"/>
          <w:szCs w:val="24"/>
        </w:rPr>
        <w:t>indaci.</w:t>
      </w:r>
    </w:p>
    <w:p w14:paraId="099FC9B5" w14:textId="77777777" w:rsidR="0097270F" w:rsidRPr="009C3A69" w:rsidRDefault="006A03F5" w:rsidP="0097270F">
      <w:pPr>
        <w:pStyle w:val="Paragrafoelenco"/>
        <w:numPr>
          <w:ilvl w:val="0"/>
          <w:numId w:val="2"/>
        </w:numPr>
        <w:suppressAutoHyphens/>
        <w:autoSpaceDN w:val="0"/>
        <w:spacing w:line="240" w:lineRule="auto"/>
        <w:jc w:val="both"/>
        <w:textAlignment w:val="baseline"/>
        <w:rPr>
          <w:rFonts w:ascii="Bookman Old Style" w:hAnsi="Bookman Old Style"/>
          <w:strike/>
          <w:color w:val="000000"/>
          <w:sz w:val="24"/>
          <w:szCs w:val="24"/>
        </w:rPr>
      </w:pPr>
      <w:r w:rsidRPr="009C3A69">
        <w:rPr>
          <w:rFonts w:ascii="Bookman Old Style" w:hAnsi="Bookman Old Style"/>
          <w:color w:val="000000"/>
          <w:sz w:val="24"/>
          <w:szCs w:val="24"/>
        </w:rPr>
        <w:t xml:space="preserve">L’individuazione </w:t>
      </w:r>
      <w:r w:rsidR="00303029" w:rsidRPr="009C3A69">
        <w:rPr>
          <w:rFonts w:ascii="Bookman Old Style" w:hAnsi="Bookman Old Style"/>
          <w:color w:val="000000"/>
          <w:sz w:val="24"/>
          <w:szCs w:val="24"/>
        </w:rPr>
        <w:t xml:space="preserve">degli ambiti adeguati </w:t>
      </w:r>
      <w:proofErr w:type="gramStart"/>
      <w:r w:rsidR="00303029" w:rsidRPr="009C3A69">
        <w:rPr>
          <w:rFonts w:ascii="Bookman Old Style" w:hAnsi="Bookman Old Style"/>
          <w:color w:val="000000"/>
          <w:sz w:val="24"/>
          <w:szCs w:val="24"/>
        </w:rPr>
        <w:t>ed</w:t>
      </w:r>
      <w:proofErr w:type="gramEnd"/>
      <w:r w:rsidR="00303029" w:rsidRPr="009C3A69">
        <w:rPr>
          <w:rFonts w:ascii="Bookman Old Style" w:hAnsi="Bookman Old Style"/>
          <w:color w:val="000000"/>
          <w:sz w:val="24"/>
          <w:szCs w:val="24"/>
        </w:rPr>
        <w:t xml:space="preserve"> omogenei </w:t>
      </w:r>
      <w:r w:rsidRPr="009C3A69">
        <w:rPr>
          <w:rFonts w:ascii="Bookman Old Style" w:hAnsi="Bookman Old Style"/>
          <w:color w:val="000000"/>
          <w:sz w:val="24"/>
          <w:szCs w:val="24"/>
        </w:rPr>
        <w:t>comporta</w:t>
      </w:r>
      <w:r w:rsidR="00BC405E">
        <w:rPr>
          <w:rFonts w:ascii="Bookman Old Style" w:hAnsi="Bookman Old Style"/>
          <w:color w:val="000000"/>
          <w:sz w:val="24"/>
          <w:szCs w:val="24"/>
        </w:rPr>
        <w:t>, ove ritenuto,</w:t>
      </w:r>
      <w:r w:rsidRPr="009C3A69">
        <w:rPr>
          <w:rFonts w:ascii="Bookman Old Style" w:hAnsi="Bookman Old Style"/>
          <w:color w:val="000000"/>
          <w:sz w:val="24"/>
          <w:szCs w:val="24"/>
        </w:rPr>
        <w:t xml:space="preserve"> anche </w:t>
      </w:r>
      <w:r w:rsidR="00BC405E">
        <w:rPr>
          <w:rFonts w:ascii="Bookman Old Style" w:hAnsi="Bookman Old Style"/>
          <w:color w:val="000000"/>
          <w:sz w:val="24"/>
          <w:szCs w:val="24"/>
        </w:rPr>
        <w:t>la</w:t>
      </w:r>
      <w:r w:rsidRPr="009C3A69">
        <w:rPr>
          <w:rFonts w:ascii="Bookman Old Style" w:hAnsi="Bookman Old Style"/>
          <w:color w:val="000000"/>
          <w:sz w:val="24"/>
          <w:szCs w:val="24"/>
        </w:rPr>
        <w:t xml:space="preserve"> conferma di ambiti già esistenti. </w:t>
      </w:r>
    </w:p>
    <w:p w14:paraId="5209D7EE" w14:textId="77777777" w:rsidR="0097270F" w:rsidRPr="006A03F5" w:rsidRDefault="0097270F" w:rsidP="0097270F">
      <w:pPr>
        <w:pStyle w:val="Paragrafoelenco"/>
        <w:numPr>
          <w:ilvl w:val="0"/>
          <w:numId w:val="2"/>
        </w:numPr>
        <w:suppressAutoHyphens/>
        <w:autoSpaceDN w:val="0"/>
        <w:spacing w:line="240" w:lineRule="auto"/>
        <w:jc w:val="both"/>
        <w:textAlignment w:val="baseline"/>
        <w:rPr>
          <w:rFonts w:ascii="Bookman Old Style" w:hAnsi="Bookman Old Style"/>
          <w:sz w:val="24"/>
          <w:szCs w:val="24"/>
        </w:rPr>
      </w:pPr>
      <w:r w:rsidRPr="006A03F5">
        <w:rPr>
          <w:rFonts w:ascii="Bookman Old Style" w:hAnsi="Bookman Old Style"/>
          <w:color w:val="000000"/>
          <w:sz w:val="24"/>
          <w:szCs w:val="24"/>
        </w:rPr>
        <w:t xml:space="preserve">Il riparto dei fondi statali e regionali </w:t>
      </w:r>
      <w:proofErr w:type="gramStart"/>
      <w:r w:rsidRPr="006A03F5">
        <w:rPr>
          <w:rFonts w:ascii="Bookman Old Style" w:hAnsi="Bookman Old Style"/>
          <w:color w:val="000000"/>
          <w:sz w:val="24"/>
          <w:szCs w:val="24"/>
        </w:rPr>
        <w:t xml:space="preserve">di </w:t>
      </w:r>
      <w:proofErr w:type="gramEnd"/>
      <w:r w:rsidRPr="006A03F5">
        <w:rPr>
          <w:rFonts w:ascii="Bookman Old Style" w:hAnsi="Bookman Old Style"/>
          <w:color w:val="000000"/>
          <w:sz w:val="24"/>
          <w:szCs w:val="24"/>
        </w:rPr>
        <w:t xml:space="preserve">incentivazione e di </w:t>
      </w:r>
      <w:proofErr w:type="spellStart"/>
      <w:r w:rsidRPr="006A03F5">
        <w:rPr>
          <w:rFonts w:ascii="Bookman Old Style" w:hAnsi="Bookman Old Style"/>
          <w:color w:val="000000"/>
          <w:sz w:val="24"/>
          <w:szCs w:val="24"/>
        </w:rPr>
        <w:t>premialità</w:t>
      </w:r>
      <w:proofErr w:type="spellEnd"/>
      <w:r w:rsidRPr="006A03F5">
        <w:rPr>
          <w:rFonts w:ascii="Bookman Old Style" w:hAnsi="Bookman Old Style"/>
          <w:color w:val="000000"/>
          <w:sz w:val="24"/>
          <w:szCs w:val="24"/>
        </w:rPr>
        <w:t xml:space="preserve"> per le Unioni di comuni dovrà tener conto  </w:t>
      </w:r>
      <w:r w:rsidRPr="006A03F5">
        <w:rPr>
          <w:rFonts w:ascii="Bookman Old Style" w:hAnsi="Bookman Old Style"/>
          <w:bCs/>
          <w:iCs/>
          <w:sz w:val="24"/>
          <w:szCs w:val="24"/>
        </w:rPr>
        <w:t>in modo direttamente proporzionale del numero e della tipologia di funzioni e servizi, del numero di Comuni e della dimensione demografica raggiunta dalla forma associativa</w:t>
      </w:r>
      <w:r w:rsidRPr="006A03F5">
        <w:rPr>
          <w:rFonts w:ascii="Bookman Old Style" w:hAnsi="Bookman Old Style"/>
          <w:color w:val="000000"/>
          <w:sz w:val="24"/>
          <w:szCs w:val="24"/>
        </w:rPr>
        <w:t>.</w:t>
      </w:r>
    </w:p>
    <w:p w14:paraId="5EADA19F" w14:textId="77777777" w:rsidR="0097270F" w:rsidRPr="006A03F5" w:rsidRDefault="0097270F" w:rsidP="0097270F">
      <w:pPr>
        <w:pStyle w:val="Paragrafoelenco"/>
        <w:numPr>
          <w:ilvl w:val="0"/>
          <w:numId w:val="2"/>
        </w:numPr>
        <w:suppressAutoHyphens/>
        <w:autoSpaceDN w:val="0"/>
        <w:spacing w:line="240" w:lineRule="auto"/>
        <w:jc w:val="both"/>
        <w:textAlignment w:val="baseline"/>
        <w:rPr>
          <w:rFonts w:ascii="Bookman Old Style" w:hAnsi="Bookman Old Style"/>
          <w:sz w:val="24"/>
          <w:szCs w:val="24"/>
        </w:rPr>
      </w:pPr>
      <w:r w:rsidRPr="006A03F5">
        <w:rPr>
          <w:rFonts w:ascii="Bookman Old Style" w:eastAsia="Times New Roman" w:hAnsi="Bookman Old Style"/>
          <w:sz w:val="24"/>
          <w:szCs w:val="24"/>
        </w:rPr>
        <w:t>I Comuni che delegano tutte le funzioni alle Unioni di Comuni possono entro il 30 settembre di ogni anno, per l’</w:t>
      </w:r>
      <w:proofErr w:type="gramStart"/>
      <w:r w:rsidRPr="006A03F5">
        <w:rPr>
          <w:rFonts w:ascii="Bookman Old Style" w:eastAsia="Times New Roman" w:hAnsi="Bookman Old Style"/>
          <w:sz w:val="24"/>
          <w:szCs w:val="24"/>
        </w:rPr>
        <w:t>anno</w:t>
      </w:r>
      <w:proofErr w:type="gramEnd"/>
      <w:r w:rsidRPr="006A03F5">
        <w:rPr>
          <w:rFonts w:ascii="Bookman Old Style" w:eastAsia="Times New Roman" w:hAnsi="Bookman Old Style"/>
          <w:sz w:val="24"/>
          <w:szCs w:val="24"/>
        </w:rPr>
        <w:t xml:space="preserve"> successivo, deliberare la rinuncia alla predisposizione del bilancio di previsione a livello comunale. In tal caso, l</w:t>
      </w:r>
      <w:r w:rsidRPr="006A03F5">
        <w:rPr>
          <w:rFonts w:ascii="Bookman Old Style" w:hAnsi="Bookman Old Style"/>
          <w:sz w:val="24"/>
          <w:szCs w:val="24"/>
        </w:rPr>
        <w:t xml:space="preserve">'Unione subentra nei rapporti finanziari dei singoli Comuni e nella gestione del patrimonio. Gli amministratori delle Unioni di Comuni possono percepire, in sostituzione di quelle comunali, le indennità </w:t>
      </w:r>
      <w:proofErr w:type="gramStart"/>
      <w:r w:rsidRPr="006A03F5">
        <w:rPr>
          <w:rFonts w:ascii="Bookman Old Style" w:hAnsi="Bookman Old Style"/>
          <w:sz w:val="24"/>
          <w:szCs w:val="24"/>
        </w:rPr>
        <w:t xml:space="preserve">di </w:t>
      </w:r>
      <w:proofErr w:type="gramEnd"/>
      <w:r w:rsidRPr="006A03F5">
        <w:rPr>
          <w:rFonts w:ascii="Bookman Old Style" w:hAnsi="Bookman Old Style"/>
          <w:sz w:val="24"/>
          <w:szCs w:val="24"/>
        </w:rPr>
        <w:t xml:space="preserve">importo pari a quelle dei Comuni con pari popolazione. L'Unione si avvale di una figura apicale unica e per quanto </w:t>
      </w:r>
      <w:r w:rsidRPr="006A03F5">
        <w:rPr>
          <w:rFonts w:ascii="Bookman Old Style" w:hAnsi="Bookman Old Style"/>
          <w:sz w:val="24"/>
          <w:szCs w:val="24"/>
        </w:rPr>
        <w:lastRenderedPageBreak/>
        <w:t xml:space="preserve">non </w:t>
      </w:r>
      <w:proofErr w:type="gramStart"/>
      <w:r w:rsidRPr="006A03F5">
        <w:rPr>
          <w:rFonts w:ascii="Bookman Old Style" w:hAnsi="Bookman Old Style"/>
          <w:sz w:val="24"/>
          <w:szCs w:val="24"/>
        </w:rPr>
        <w:t>disciplinato diversamente</w:t>
      </w:r>
      <w:proofErr w:type="gramEnd"/>
      <w:r w:rsidRPr="006A03F5">
        <w:rPr>
          <w:rFonts w:ascii="Bookman Old Style" w:hAnsi="Bookman Old Style"/>
          <w:sz w:val="24"/>
          <w:szCs w:val="24"/>
        </w:rPr>
        <w:t xml:space="preserve"> si applicano le disposizioni previste per i Comuni con pari popolazione.</w:t>
      </w:r>
    </w:p>
    <w:p w14:paraId="461E3AA3" w14:textId="77777777" w:rsidR="0097270F" w:rsidRPr="006A03F5" w:rsidRDefault="0097270F" w:rsidP="0097270F">
      <w:pPr>
        <w:pStyle w:val="Paragrafoelenco"/>
        <w:numPr>
          <w:ilvl w:val="0"/>
          <w:numId w:val="2"/>
        </w:numPr>
        <w:suppressAutoHyphens/>
        <w:autoSpaceDN w:val="0"/>
        <w:spacing w:line="240" w:lineRule="auto"/>
        <w:jc w:val="both"/>
        <w:textAlignment w:val="baseline"/>
        <w:rPr>
          <w:rFonts w:ascii="Bookman Old Style" w:hAnsi="Bookman Old Style"/>
          <w:sz w:val="24"/>
          <w:szCs w:val="24"/>
        </w:rPr>
      </w:pPr>
      <w:r w:rsidRPr="006A03F5">
        <w:rPr>
          <w:rFonts w:ascii="Bookman Old Style" w:hAnsi="Bookman Old Style"/>
          <w:sz w:val="24"/>
          <w:szCs w:val="24"/>
        </w:rPr>
        <w:t xml:space="preserve">Il primo periodo del comma </w:t>
      </w:r>
      <w:proofErr w:type="gramStart"/>
      <w:r w:rsidRPr="006A03F5">
        <w:rPr>
          <w:rFonts w:ascii="Bookman Old Style" w:hAnsi="Bookman Old Style"/>
          <w:sz w:val="24"/>
          <w:szCs w:val="24"/>
        </w:rPr>
        <w:t>2</w:t>
      </w:r>
      <w:proofErr w:type="gramEnd"/>
      <w:r w:rsidRPr="006A03F5">
        <w:rPr>
          <w:rFonts w:ascii="Bookman Old Style" w:hAnsi="Bookman Old Style"/>
          <w:sz w:val="24"/>
          <w:szCs w:val="24"/>
        </w:rPr>
        <w:t xml:space="preserve"> dell’art. 15 del Decreto Legislativo n. 267/2000, e successive modifiche e integrazioni, è sostituito dal seguente: I comuni che hanno dato avvio al procedimento di fusione, ai sensi delle rispettive leggi regionali, possono, anche prima dell’istituzione del nuovo ente, mediante approvazione di testo conforme da parte di tutti i consigli comunali, definire lo statuto e i regolamenti che entreranno in vigore con l’istituzione del nuovo comune e rimarranno vigenti fino alle modifiche degli stessi da parte degli organi </w:t>
      </w:r>
      <w:proofErr w:type="gramStart"/>
      <w:r w:rsidRPr="006A03F5">
        <w:rPr>
          <w:rFonts w:ascii="Bookman Old Style" w:hAnsi="Bookman Old Style"/>
          <w:sz w:val="24"/>
          <w:szCs w:val="24"/>
        </w:rPr>
        <w:t>del</w:t>
      </w:r>
      <w:proofErr w:type="gramEnd"/>
      <w:r w:rsidRPr="006A03F5">
        <w:rPr>
          <w:rFonts w:ascii="Bookman Old Style" w:hAnsi="Bookman Old Style"/>
          <w:sz w:val="24"/>
          <w:szCs w:val="24"/>
        </w:rPr>
        <w:t xml:space="preserve"> nuovo comune istituito.</w:t>
      </w:r>
    </w:p>
    <w:p w14:paraId="10BC4BF2" w14:textId="77777777" w:rsidR="0097270F" w:rsidRPr="006A03F5" w:rsidRDefault="0097270F" w:rsidP="0097270F">
      <w:pPr>
        <w:pStyle w:val="Paragrafoelenco"/>
        <w:numPr>
          <w:ilvl w:val="0"/>
          <w:numId w:val="2"/>
        </w:numPr>
        <w:suppressAutoHyphens/>
        <w:autoSpaceDN w:val="0"/>
        <w:spacing w:line="240" w:lineRule="auto"/>
        <w:jc w:val="both"/>
        <w:textAlignment w:val="baseline"/>
        <w:rPr>
          <w:rFonts w:ascii="Bookman Old Style" w:hAnsi="Bookman Old Style"/>
          <w:sz w:val="24"/>
          <w:szCs w:val="24"/>
        </w:rPr>
      </w:pPr>
      <w:r w:rsidRPr="006A03F5">
        <w:rPr>
          <w:rFonts w:ascii="Bookman Old Style" w:hAnsi="Bookman Old Style"/>
          <w:sz w:val="24"/>
          <w:szCs w:val="24"/>
        </w:rPr>
        <w:t xml:space="preserve">In caso di fusione di Comuni, la data per l’istituzione del nuovo Comune decorre dal 1° gennaio del primo anno utile per l’effettivo avvio del nuovo Comune. A tal fine, le Regioni comunicano entro un termine congruo a tutti gli enti competenti, le necessarie procedure di attivazione, assicurando il rilascio dei codici identificativi del nuovo ente </w:t>
      </w:r>
      <w:proofErr w:type="gramStart"/>
      <w:r w:rsidRPr="006A03F5">
        <w:rPr>
          <w:rFonts w:ascii="Bookman Old Style" w:hAnsi="Bookman Old Style"/>
          <w:sz w:val="24"/>
          <w:szCs w:val="24"/>
        </w:rPr>
        <w:t>sino</w:t>
      </w:r>
      <w:proofErr w:type="gramEnd"/>
      <w:r w:rsidRPr="006A03F5">
        <w:rPr>
          <w:rFonts w:ascii="Bookman Old Style" w:hAnsi="Bookman Old Style"/>
          <w:sz w:val="24"/>
          <w:szCs w:val="24"/>
        </w:rPr>
        <w:t xml:space="preserve"> dal primo giorno della sua istituzione.</w:t>
      </w:r>
    </w:p>
    <w:p w14:paraId="22BA3664" w14:textId="77777777" w:rsidR="0097270F" w:rsidRPr="006A03F5" w:rsidRDefault="0097270F" w:rsidP="0097270F">
      <w:pPr>
        <w:pStyle w:val="Paragrafoelenco"/>
        <w:numPr>
          <w:ilvl w:val="0"/>
          <w:numId w:val="2"/>
        </w:numPr>
        <w:suppressAutoHyphens/>
        <w:autoSpaceDN w:val="0"/>
        <w:spacing w:line="240" w:lineRule="auto"/>
        <w:ind w:firstLine="29"/>
        <w:jc w:val="both"/>
        <w:textAlignment w:val="baseline"/>
        <w:rPr>
          <w:rFonts w:ascii="Bookman Old Style" w:hAnsi="Bookman Old Style"/>
          <w:sz w:val="24"/>
          <w:szCs w:val="24"/>
        </w:rPr>
      </w:pPr>
      <w:r w:rsidRPr="006A03F5">
        <w:rPr>
          <w:rFonts w:ascii="Bookman Old Style" w:hAnsi="Bookman Old Style"/>
          <w:sz w:val="24"/>
          <w:szCs w:val="24"/>
        </w:rPr>
        <w:t xml:space="preserve">Dal termine </w:t>
      </w:r>
      <w:proofErr w:type="gramStart"/>
      <w:r w:rsidRPr="006A03F5">
        <w:rPr>
          <w:rFonts w:ascii="Bookman Old Style" w:hAnsi="Bookman Old Style"/>
          <w:sz w:val="24"/>
          <w:szCs w:val="24"/>
        </w:rPr>
        <w:t xml:space="preserve">di </w:t>
      </w:r>
      <w:proofErr w:type="gramEnd"/>
      <w:r w:rsidRPr="006A03F5">
        <w:rPr>
          <w:rFonts w:ascii="Bookman Old Style" w:hAnsi="Bookman Old Style"/>
          <w:sz w:val="24"/>
          <w:szCs w:val="24"/>
        </w:rPr>
        <w:t>istituzione del nuovo Comune, la gestione commissariale è affidata ad un organo costituito dagli amministratori che alla data di estinzione dei Comuni aderenti alla fusione ricoprivano la carica di Sindaco.</w:t>
      </w:r>
    </w:p>
    <w:p w14:paraId="5CC56C00" w14:textId="77777777" w:rsidR="0097270F" w:rsidRPr="006A03F5" w:rsidRDefault="0097270F" w:rsidP="0097270F">
      <w:pPr>
        <w:pStyle w:val="Paragrafoelenco"/>
        <w:numPr>
          <w:ilvl w:val="0"/>
          <w:numId w:val="2"/>
        </w:numPr>
        <w:suppressAutoHyphens/>
        <w:autoSpaceDN w:val="0"/>
        <w:spacing w:after="0" w:line="240" w:lineRule="auto"/>
        <w:ind w:firstLine="29"/>
        <w:jc w:val="both"/>
        <w:textAlignment w:val="baseline"/>
        <w:rPr>
          <w:rFonts w:ascii="Bookman Old Style" w:hAnsi="Bookman Old Style"/>
          <w:color w:val="000000"/>
          <w:sz w:val="24"/>
          <w:szCs w:val="24"/>
        </w:rPr>
      </w:pPr>
      <w:r w:rsidRPr="006A03F5">
        <w:rPr>
          <w:rFonts w:ascii="Bookman Old Style" w:eastAsia="Times New Roman" w:hAnsi="Bookman Old Style"/>
          <w:sz w:val="24"/>
          <w:szCs w:val="24"/>
        </w:rPr>
        <w:t xml:space="preserve"> Al fine di </w:t>
      </w:r>
      <w:proofErr w:type="gramStart"/>
      <w:r w:rsidRPr="006A03F5">
        <w:rPr>
          <w:rFonts w:ascii="Bookman Old Style" w:eastAsia="Times New Roman" w:hAnsi="Bookman Old Style"/>
          <w:sz w:val="24"/>
          <w:szCs w:val="24"/>
        </w:rPr>
        <w:t>incentivare</w:t>
      </w:r>
      <w:proofErr w:type="gramEnd"/>
      <w:r w:rsidRPr="006A03F5">
        <w:rPr>
          <w:rFonts w:ascii="Bookman Old Style" w:eastAsia="Times New Roman" w:hAnsi="Bookman Old Style"/>
          <w:sz w:val="24"/>
          <w:szCs w:val="24"/>
        </w:rPr>
        <w:t xml:space="preserve"> il processo di riordino, cooperazione intercomunale e semplificazione degli enti territoriali, il contributo statale di cui all’art. 1, comma 730, lettera a), ultimo periodo, è prorogato al triennio 2017, </w:t>
      </w:r>
      <w:proofErr w:type="gramStart"/>
      <w:r w:rsidRPr="006A03F5">
        <w:rPr>
          <w:rFonts w:ascii="Bookman Old Style" w:eastAsia="Times New Roman" w:hAnsi="Bookman Old Style"/>
          <w:sz w:val="24"/>
          <w:szCs w:val="24"/>
        </w:rPr>
        <w:t>2018 e 2019 e incrementato</w:t>
      </w:r>
      <w:proofErr w:type="gramEnd"/>
      <w:r w:rsidRPr="006A03F5">
        <w:rPr>
          <w:rFonts w:ascii="Bookman Old Style" w:eastAsia="Times New Roman" w:hAnsi="Bookman Old Style"/>
          <w:sz w:val="24"/>
          <w:szCs w:val="24"/>
        </w:rPr>
        <w:t xml:space="preserve"> con una dotazione di 60 milioni di euro annui per le unioni di comuni e di 60 milioni di euro annui per i comuni istituiti a seguito di fusione ai sensi dell'articolo 20 del decreto-legge 6 luglio 2012, n. 95, convertito, con modificazioni, dalla legge 7 agosto 2012, n. 135, come sostituito dall’art. 23, comma </w:t>
      </w:r>
      <w:proofErr w:type="gramStart"/>
      <w:r w:rsidRPr="006A03F5">
        <w:rPr>
          <w:rFonts w:ascii="Bookman Old Style" w:eastAsia="Times New Roman" w:hAnsi="Bookman Old Style"/>
          <w:sz w:val="24"/>
          <w:szCs w:val="24"/>
        </w:rPr>
        <w:t>1</w:t>
      </w:r>
      <w:proofErr w:type="gramEnd"/>
      <w:r w:rsidRPr="006A03F5">
        <w:rPr>
          <w:rFonts w:ascii="Bookman Old Style" w:eastAsia="Times New Roman" w:hAnsi="Bookman Old Style"/>
          <w:sz w:val="24"/>
          <w:szCs w:val="24"/>
        </w:rPr>
        <w:t>, lettera f-ter), del decreto legge 24 giugno 2014, n. 90, convertito con modificazioni dalla legge 11 agosto 2014, n. 114.</w:t>
      </w:r>
    </w:p>
    <w:p w14:paraId="1CCD1564" w14:textId="77777777" w:rsidR="0097270F" w:rsidRPr="006A03F5" w:rsidRDefault="0097270F" w:rsidP="0097270F">
      <w:pPr>
        <w:pStyle w:val="Paragrafoelenco"/>
        <w:spacing w:after="0" w:line="240" w:lineRule="auto"/>
        <w:jc w:val="both"/>
        <w:rPr>
          <w:rFonts w:ascii="Bookman Old Style" w:hAnsi="Bookman Old Style"/>
          <w:color w:val="000000"/>
          <w:sz w:val="24"/>
          <w:szCs w:val="24"/>
        </w:rPr>
      </w:pPr>
    </w:p>
    <w:p w14:paraId="02BA6B8F" w14:textId="77777777" w:rsidR="0097270F" w:rsidRPr="006A03F5" w:rsidRDefault="0097270F" w:rsidP="0097270F">
      <w:pPr>
        <w:pStyle w:val="Paragrafoelenco"/>
        <w:numPr>
          <w:ilvl w:val="0"/>
          <w:numId w:val="2"/>
        </w:numPr>
        <w:suppressAutoHyphens/>
        <w:autoSpaceDN w:val="0"/>
        <w:spacing w:after="0" w:line="240" w:lineRule="auto"/>
        <w:jc w:val="both"/>
        <w:textAlignment w:val="baseline"/>
        <w:rPr>
          <w:rFonts w:ascii="Bookman Old Style" w:hAnsi="Bookman Old Style"/>
          <w:color w:val="000000"/>
          <w:sz w:val="24"/>
          <w:szCs w:val="24"/>
        </w:rPr>
      </w:pPr>
      <w:r w:rsidRPr="006A03F5">
        <w:rPr>
          <w:rFonts w:ascii="Bookman Old Style" w:hAnsi="Bookman Old Style"/>
          <w:color w:val="000000"/>
          <w:sz w:val="24"/>
          <w:szCs w:val="24"/>
        </w:rPr>
        <w:t>All’art. 1, comma 730 della legge 147/2013, alla lettera a) del comma 380-ter, aggiungere alla fine il seguente periodo: “</w:t>
      </w:r>
      <w:proofErr w:type="gramStart"/>
      <w:r w:rsidRPr="006A03F5">
        <w:rPr>
          <w:rFonts w:ascii="Bookman Old Style" w:hAnsi="Bookman Old Style"/>
          <w:color w:val="000000"/>
          <w:sz w:val="24"/>
          <w:szCs w:val="24"/>
        </w:rPr>
        <w:t>le</w:t>
      </w:r>
      <w:proofErr w:type="gramEnd"/>
      <w:r w:rsidRPr="006A03F5">
        <w:rPr>
          <w:rFonts w:ascii="Bookman Old Style" w:hAnsi="Bookman Old Style"/>
          <w:color w:val="000000"/>
          <w:sz w:val="24"/>
          <w:szCs w:val="24"/>
        </w:rPr>
        <w:t xml:space="preserve"> risorse destinate ai comuni istituiti a seguito di fusione annualmente non utilizzate, sono destinate ad incrementare il contributo spettante alle unioni di comuni.</w:t>
      </w:r>
    </w:p>
    <w:p w14:paraId="44BCF257" w14:textId="77777777" w:rsidR="0097270F" w:rsidRPr="006A03F5" w:rsidRDefault="0097270F" w:rsidP="0097270F">
      <w:pPr>
        <w:pStyle w:val="Paragrafoelenco"/>
        <w:spacing w:line="240" w:lineRule="auto"/>
        <w:ind w:left="0"/>
        <w:jc w:val="both"/>
        <w:rPr>
          <w:rFonts w:ascii="Bookman Old Style" w:hAnsi="Bookman Old Style"/>
          <w:sz w:val="24"/>
          <w:szCs w:val="24"/>
        </w:rPr>
      </w:pPr>
    </w:p>
    <w:p w14:paraId="1FA9BF96" w14:textId="77777777" w:rsidR="0097270F" w:rsidRPr="006A03F5" w:rsidRDefault="0097270F" w:rsidP="0097270F">
      <w:pPr>
        <w:pStyle w:val="Paragrafoelenco"/>
        <w:numPr>
          <w:ilvl w:val="0"/>
          <w:numId w:val="2"/>
        </w:numPr>
        <w:suppressAutoHyphens/>
        <w:autoSpaceDN w:val="0"/>
        <w:spacing w:line="240" w:lineRule="auto"/>
        <w:jc w:val="both"/>
        <w:textAlignment w:val="baseline"/>
        <w:rPr>
          <w:rFonts w:ascii="Bookman Old Style" w:hAnsi="Bookman Old Style"/>
          <w:sz w:val="24"/>
          <w:szCs w:val="24"/>
        </w:rPr>
      </w:pPr>
      <w:r w:rsidRPr="006A03F5">
        <w:rPr>
          <w:rFonts w:ascii="Bookman Old Style" w:hAnsi="Bookman Old Style"/>
          <w:sz w:val="24"/>
          <w:szCs w:val="24"/>
        </w:rPr>
        <w:t xml:space="preserve">Nei territori dei comuni estinti a seguito di fusione, a decorrere dalle fusioni realizzate ai sensi della legge 8 giugno 1990, n.142 e </w:t>
      </w:r>
      <w:proofErr w:type="spellStart"/>
      <w:proofErr w:type="gramStart"/>
      <w:r w:rsidRPr="006A03F5">
        <w:rPr>
          <w:rFonts w:ascii="Bookman Old Style" w:hAnsi="Bookman Old Style"/>
          <w:sz w:val="24"/>
          <w:szCs w:val="24"/>
        </w:rPr>
        <w:t>s.m.i</w:t>
      </w:r>
      <w:proofErr w:type="spellEnd"/>
      <w:proofErr w:type="gramEnd"/>
      <w:r w:rsidRPr="006A03F5">
        <w:rPr>
          <w:rFonts w:ascii="Bookman Old Style" w:hAnsi="Bookman Old Style"/>
          <w:sz w:val="24"/>
          <w:szCs w:val="24"/>
        </w:rPr>
        <w:t>, è garantita la presenza dell’Ufficio postale.</w:t>
      </w:r>
    </w:p>
    <w:p w14:paraId="4E27AF03" w14:textId="77777777" w:rsidR="0097270F" w:rsidRPr="006A03F5" w:rsidRDefault="0097270F" w:rsidP="0097270F">
      <w:pPr>
        <w:pStyle w:val="Standard"/>
        <w:numPr>
          <w:ilvl w:val="0"/>
          <w:numId w:val="2"/>
        </w:numPr>
        <w:tabs>
          <w:tab w:val="left" w:pos="786"/>
        </w:tabs>
        <w:jc w:val="both"/>
        <w:textAlignment w:val="baseline"/>
        <w:rPr>
          <w:rFonts w:ascii="Bookman Old Style" w:hAnsi="Bookman Old Style"/>
          <w:sz w:val="24"/>
          <w:szCs w:val="24"/>
        </w:rPr>
      </w:pPr>
      <w:r w:rsidRPr="006A03F5">
        <w:rPr>
          <w:rFonts w:ascii="Bookman Old Style" w:hAnsi="Bookman Old Style"/>
          <w:sz w:val="24"/>
          <w:szCs w:val="24"/>
        </w:rPr>
        <w:t xml:space="preserve">I comuni nati da fusione sono esentati fino al terzo anno dalla loro istituzione dagli obblighi di </w:t>
      </w:r>
      <w:proofErr w:type="gramStart"/>
      <w:r w:rsidRPr="006A03F5">
        <w:rPr>
          <w:rFonts w:ascii="Bookman Old Style" w:hAnsi="Bookman Old Style"/>
          <w:sz w:val="24"/>
          <w:szCs w:val="24"/>
        </w:rPr>
        <w:t>revisione</w:t>
      </w:r>
      <w:proofErr w:type="gramEnd"/>
      <w:r w:rsidRPr="006A03F5">
        <w:rPr>
          <w:rFonts w:ascii="Bookman Old Style" w:hAnsi="Bookman Old Style"/>
          <w:sz w:val="24"/>
          <w:szCs w:val="24"/>
        </w:rPr>
        <w:t xml:space="preserve"> dei piani di dimensionamento scolastico.</w:t>
      </w:r>
    </w:p>
    <w:p w14:paraId="6371F7E7" w14:textId="77777777" w:rsidR="0097270F" w:rsidRPr="006A03F5" w:rsidRDefault="0097270F" w:rsidP="0097270F">
      <w:pPr>
        <w:pStyle w:val="Standard"/>
        <w:tabs>
          <w:tab w:val="left" w:pos="426"/>
        </w:tabs>
        <w:jc w:val="both"/>
        <w:rPr>
          <w:rFonts w:ascii="Bookman Old Style" w:hAnsi="Bookman Old Style"/>
          <w:sz w:val="24"/>
          <w:szCs w:val="24"/>
        </w:rPr>
      </w:pPr>
    </w:p>
    <w:p w14:paraId="264055C0" w14:textId="77777777" w:rsidR="0097270F" w:rsidRPr="006A03F5" w:rsidRDefault="0097270F" w:rsidP="0097270F">
      <w:pPr>
        <w:pStyle w:val="Paragrafoelenco"/>
        <w:numPr>
          <w:ilvl w:val="0"/>
          <w:numId w:val="2"/>
        </w:numPr>
        <w:suppressAutoHyphens/>
        <w:autoSpaceDN w:val="0"/>
        <w:spacing w:line="240" w:lineRule="auto"/>
        <w:jc w:val="both"/>
        <w:textAlignment w:val="baseline"/>
        <w:rPr>
          <w:rFonts w:ascii="Bookman Old Style" w:hAnsi="Bookman Old Style"/>
          <w:sz w:val="24"/>
          <w:szCs w:val="24"/>
        </w:rPr>
      </w:pPr>
      <w:r w:rsidRPr="006A03F5">
        <w:rPr>
          <w:rFonts w:ascii="Bookman Old Style" w:hAnsi="Bookman Old Style"/>
          <w:sz w:val="24"/>
          <w:szCs w:val="24"/>
        </w:rPr>
        <w:t xml:space="preserve">Al comune istituito a seguito di </w:t>
      </w:r>
      <w:proofErr w:type="gramStart"/>
      <w:r w:rsidRPr="006A03F5">
        <w:rPr>
          <w:rFonts w:ascii="Bookman Old Style" w:hAnsi="Bookman Old Style"/>
          <w:sz w:val="24"/>
          <w:szCs w:val="24"/>
        </w:rPr>
        <w:t>fusione</w:t>
      </w:r>
      <w:proofErr w:type="gramEnd"/>
      <w:r w:rsidRPr="006A03F5">
        <w:rPr>
          <w:rFonts w:ascii="Bookman Old Style" w:hAnsi="Bookman Old Style"/>
          <w:sz w:val="24"/>
          <w:szCs w:val="24"/>
        </w:rPr>
        <w:t xml:space="preserve"> si applicano per dieci anni, in quanto  compatibili, le norme di maggior favore, incentivazione e semplificazione previste per i comuni con popolazione inferiore a quella raggiunta con l’accorpamento.</w:t>
      </w:r>
    </w:p>
    <w:p w14:paraId="0D2671C2" w14:textId="77777777" w:rsidR="0097270F" w:rsidRPr="006A03F5" w:rsidRDefault="0097270F" w:rsidP="0097270F">
      <w:pPr>
        <w:pStyle w:val="Paragrafoelenco"/>
        <w:numPr>
          <w:ilvl w:val="0"/>
          <w:numId w:val="2"/>
        </w:numPr>
        <w:suppressAutoHyphens/>
        <w:autoSpaceDN w:val="0"/>
        <w:spacing w:line="240" w:lineRule="auto"/>
        <w:jc w:val="both"/>
        <w:textAlignment w:val="baseline"/>
        <w:rPr>
          <w:rFonts w:ascii="Bookman Old Style" w:hAnsi="Bookman Old Style"/>
          <w:sz w:val="24"/>
          <w:szCs w:val="24"/>
        </w:rPr>
      </w:pPr>
      <w:r w:rsidRPr="006A03F5">
        <w:rPr>
          <w:rFonts w:ascii="Bookman Old Style" w:hAnsi="Bookman Old Style"/>
          <w:sz w:val="24"/>
          <w:szCs w:val="24"/>
        </w:rPr>
        <w:t xml:space="preserve">All’art. 1, della legge n. 56 del 2014, dopo il comma 128, inserire il seguente comma 128 bis “in tutti i programmi di derivazione dell’Unione Europea e cofinanzianti da stato e/o regioni nei programmi statali e/o regionali, di finanziamento, sostegno, incentivazione degli investimenti dei Comuni, attraverso la concessione di contributi a fondo perduto o a tassi agevolati, o altre </w:t>
      </w:r>
      <w:proofErr w:type="gramStart"/>
      <w:r w:rsidRPr="006A03F5">
        <w:rPr>
          <w:rFonts w:ascii="Bookman Old Style" w:hAnsi="Bookman Old Style"/>
          <w:sz w:val="24"/>
          <w:szCs w:val="24"/>
        </w:rPr>
        <w:t>modalità</w:t>
      </w:r>
      <w:proofErr w:type="gramEnd"/>
      <w:r w:rsidRPr="006A03F5">
        <w:rPr>
          <w:rFonts w:ascii="Bookman Old Style" w:hAnsi="Bookman Old Style"/>
          <w:sz w:val="24"/>
          <w:szCs w:val="24"/>
        </w:rPr>
        <w:t xml:space="preserve">, sono previste quote di riserva o forme di priorità e prelazione, nell’ordine a favore </w:t>
      </w:r>
      <w:r w:rsidRPr="006A03F5">
        <w:rPr>
          <w:rFonts w:ascii="Bookman Old Style" w:hAnsi="Bookman Old Style"/>
          <w:sz w:val="24"/>
          <w:szCs w:val="24"/>
        </w:rPr>
        <w:lastRenderedPageBreak/>
        <w:t xml:space="preserve">dei Comuni istituiti a seguito di fusione, nonché dei Comuni appartenenti alle Unioni che gestiscano in forma associata le funzioni di cui all’art. </w:t>
      </w:r>
      <w:proofErr w:type="gramStart"/>
      <w:r w:rsidRPr="006A03F5">
        <w:rPr>
          <w:rFonts w:ascii="Bookman Old Style" w:hAnsi="Bookman Old Style"/>
          <w:sz w:val="24"/>
          <w:szCs w:val="24"/>
        </w:rPr>
        <w:t>14 comma 28, del n. 78/</w:t>
      </w:r>
      <w:r w:rsidR="006A03F5">
        <w:rPr>
          <w:rFonts w:ascii="Bookman Old Style" w:hAnsi="Bookman Old Style"/>
          <w:sz w:val="24"/>
          <w:szCs w:val="24"/>
        </w:rPr>
        <w:t>2010 convertito in legge n. 122</w:t>
      </w:r>
      <w:r w:rsidRPr="006A03F5">
        <w:rPr>
          <w:rFonts w:ascii="Bookman Old Style" w:hAnsi="Bookman Old Style"/>
          <w:sz w:val="24"/>
          <w:szCs w:val="24"/>
        </w:rPr>
        <w:t>/2010.</w:t>
      </w:r>
      <w:proofErr w:type="gramEnd"/>
    </w:p>
    <w:p w14:paraId="16E6CC23" w14:textId="77777777" w:rsidR="0097270F" w:rsidRPr="006A03F5" w:rsidRDefault="0097270F" w:rsidP="0097270F">
      <w:pPr>
        <w:pStyle w:val="Paragrafoelenco"/>
        <w:numPr>
          <w:ilvl w:val="0"/>
          <w:numId w:val="2"/>
        </w:numPr>
        <w:suppressAutoHyphens/>
        <w:autoSpaceDN w:val="0"/>
        <w:spacing w:line="240" w:lineRule="auto"/>
        <w:jc w:val="both"/>
        <w:textAlignment w:val="baseline"/>
        <w:rPr>
          <w:rFonts w:ascii="Bookman Old Style" w:hAnsi="Bookman Old Style"/>
          <w:sz w:val="24"/>
          <w:szCs w:val="24"/>
        </w:rPr>
      </w:pPr>
      <w:r w:rsidRPr="006A03F5">
        <w:rPr>
          <w:rFonts w:ascii="Bookman Old Style" w:hAnsi="Bookman Old Style"/>
          <w:color w:val="000000"/>
          <w:sz w:val="24"/>
          <w:szCs w:val="24"/>
        </w:rPr>
        <w:t>Sono conseguentemente soppresse le normative in contrasto con il presente articolo.</w:t>
      </w:r>
    </w:p>
    <w:p w14:paraId="2F321815" w14:textId="77777777" w:rsidR="0097270F" w:rsidRPr="006A03F5" w:rsidRDefault="0097270F" w:rsidP="0097270F">
      <w:pPr>
        <w:jc w:val="center"/>
        <w:rPr>
          <w:rFonts w:ascii="Bookman Old Style" w:hAnsi="Bookman Old Style" w:cs="Arial"/>
          <w:b/>
          <w:bCs/>
          <w:sz w:val="24"/>
          <w:szCs w:val="24"/>
        </w:rPr>
      </w:pPr>
      <w:r w:rsidRPr="006A03F5">
        <w:rPr>
          <w:rFonts w:ascii="Bookman Old Style" w:hAnsi="Bookman Old Style" w:cs="Arial"/>
          <w:b/>
          <w:bCs/>
          <w:sz w:val="24"/>
          <w:szCs w:val="24"/>
        </w:rPr>
        <w:t xml:space="preserve">Motivazione comma </w:t>
      </w:r>
      <w:proofErr w:type="gramStart"/>
      <w:r w:rsidRPr="006A03F5">
        <w:rPr>
          <w:rFonts w:ascii="Bookman Old Style" w:hAnsi="Bookman Old Style" w:cs="Arial"/>
          <w:b/>
          <w:bCs/>
          <w:sz w:val="24"/>
          <w:szCs w:val="24"/>
        </w:rPr>
        <w:t>10</w:t>
      </w:r>
      <w:proofErr w:type="gramEnd"/>
    </w:p>
    <w:p w14:paraId="2FD2AE67" w14:textId="77777777" w:rsidR="0097270F" w:rsidRPr="006A03F5" w:rsidRDefault="0097270F" w:rsidP="0097270F">
      <w:pPr>
        <w:jc w:val="both"/>
        <w:rPr>
          <w:rFonts w:ascii="Bookman Old Style" w:hAnsi="Bookman Old Style"/>
          <w:i/>
          <w:sz w:val="24"/>
          <w:szCs w:val="24"/>
        </w:rPr>
      </w:pPr>
      <w:r w:rsidRPr="006A03F5">
        <w:rPr>
          <w:rFonts w:ascii="Bookman Old Style" w:hAnsi="Bookman Old Style"/>
          <w:i/>
          <w:sz w:val="24"/>
          <w:szCs w:val="24"/>
        </w:rPr>
        <w:t xml:space="preserve">I fondi statali per l’incentivazione alle Unioni di Comuni </w:t>
      </w:r>
      <w:proofErr w:type="gramStart"/>
      <w:r w:rsidRPr="006A03F5">
        <w:rPr>
          <w:rFonts w:ascii="Bookman Old Style" w:hAnsi="Bookman Old Style"/>
          <w:i/>
          <w:sz w:val="24"/>
          <w:szCs w:val="24"/>
        </w:rPr>
        <w:t>ed</w:t>
      </w:r>
      <w:proofErr w:type="gramEnd"/>
      <w:r w:rsidRPr="006A03F5">
        <w:rPr>
          <w:rFonts w:ascii="Bookman Old Style" w:hAnsi="Bookman Old Style"/>
          <w:i/>
          <w:sz w:val="24"/>
          <w:szCs w:val="24"/>
        </w:rPr>
        <w:t xml:space="preserve"> alle fusioni, rispettivamente pari a 30 milioni di euro ciascuno, sono in scadenza nel 2016 ed erano previsti per un solo triennio.</w:t>
      </w:r>
    </w:p>
    <w:p w14:paraId="407977EA" w14:textId="77777777" w:rsidR="0097270F" w:rsidRPr="006A03F5" w:rsidRDefault="0097270F" w:rsidP="0097270F">
      <w:pPr>
        <w:jc w:val="both"/>
        <w:rPr>
          <w:rFonts w:ascii="Bookman Old Style" w:hAnsi="Bookman Old Style"/>
          <w:sz w:val="24"/>
          <w:szCs w:val="24"/>
        </w:rPr>
      </w:pPr>
      <w:r w:rsidRPr="006A03F5">
        <w:rPr>
          <w:rFonts w:ascii="Bookman Old Style" w:hAnsi="Bookman Old Style"/>
          <w:i/>
          <w:sz w:val="24"/>
          <w:szCs w:val="24"/>
        </w:rPr>
        <w:t xml:space="preserve">Si propone di rifinanziare tali fondi prevedendone </w:t>
      </w:r>
      <w:proofErr w:type="gramStart"/>
      <w:r w:rsidRPr="006A03F5">
        <w:rPr>
          <w:rFonts w:ascii="Bookman Old Style" w:hAnsi="Bookman Old Style"/>
          <w:i/>
          <w:sz w:val="24"/>
          <w:szCs w:val="24"/>
        </w:rPr>
        <w:t>nel contempo</w:t>
      </w:r>
      <w:proofErr w:type="gramEnd"/>
      <w:r w:rsidRPr="006A03F5">
        <w:rPr>
          <w:rFonts w:ascii="Bookman Old Style" w:hAnsi="Bookman Old Style"/>
          <w:i/>
          <w:sz w:val="24"/>
          <w:szCs w:val="24"/>
        </w:rPr>
        <w:t xml:space="preserve"> un maggiore importo </w:t>
      </w:r>
      <w:r w:rsidR="001317E3">
        <w:rPr>
          <w:rFonts w:ascii="Bookman Old Style" w:hAnsi="Bookman Old Style"/>
          <w:i/>
          <w:sz w:val="24"/>
          <w:szCs w:val="24"/>
        </w:rPr>
        <w:t xml:space="preserve">almeno </w:t>
      </w:r>
      <w:r w:rsidRPr="006A03F5">
        <w:rPr>
          <w:rFonts w:ascii="Bookman Old Style" w:hAnsi="Bookman Old Style"/>
          <w:i/>
          <w:sz w:val="24"/>
          <w:szCs w:val="24"/>
        </w:rPr>
        <w:t>per il successivo triennio 2017-2019,</w:t>
      </w:r>
      <w:r w:rsidR="001317E3">
        <w:rPr>
          <w:rFonts w:ascii="Bookman Old Style" w:hAnsi="Bookman Old Style"/>
          <w:i/>
          <w:sz w:val="24"/>
          <w:szCs w:val="24"/>
        </w:rPr>
        <w:t xml:space="preserve"> meglio se stabilizzati,</w:t>
      </w:r>
      <w:r w:rsidRPr="006A03F5">
        <w:rPr>
          <w:rFonts w:ascii="Bookman Old Style" w:hAnsi="Bookman Old Style"/>
          <w:i/>
          <w:sz w:val="24"/>
          <w:szCs w:val="24"/>
        </w:rPr>
        <w:t xml:space="preserve"> in considerazione dello sviluppo in essere rispetto a tali tematiche</w:t>
      </w:r>
      <w:r w:rsidRPr="006A03F5">
        <w:rPr>
          <w:rFonts w:ascii="Bookman Old Style" w:hAnsi="Bookman Old Style"/>
          <w:sz w:val="24"/>
          <w:szCs w:val="24"/>
        </w:rPr>
        <w:t>.</w:t>
      </w:r>
    </w:p>
    <w:p w14:paraId="0EFA2553" w14:textId="77777777" w:rsidR="0097270F" w:rsidRPr="006A03F5" w:rsidRDefault="0097270F" w:rsidP="0097270F">
      <w:pPr>
        <w:jc w:val="both"/>
        <w:rPr>
          <w:rFonts w:ascii="Bookman Old Style" w:hAnsi="Bookman Old Style" w:cs="Arial"/>
          <w:b/>
          <w:bCs/>
          <w:sz w:val="24"/>
          <w:szCs w:val="24"/>
        </w:rPr>
      </w:pPr>
    </w:p>
    <w:p w14:paraId="2D76A869" w14:textId="77777777" w:rsidR="0097270F" w:rsidRPr="006A03F5" w:rsidRDefault="0097270F" w:rsidP="0097270F">
      <w:pPr>
        <w:jc w:val="both"/>
        <w:rPr>
          <w:rFonts w:ascii="Bookman Old Style" w:hAnsi="Bookman Old Style" w:cs="Arial"/>
          <w:b/>
          <w:bCs/>
          <w:sz w:val="24"/>
          <w:szCs w:val="24"/>
        </w:rPr>
      </w:pPr>
    </w:p>
    <w:p w14:paraId="3C279405" w14:textId="77777777" w:rsidR="0097270F" w:rsidRPr="006A03F5" w:rsidRDefault="0097270F" w:rsidP="0097270F">
      <w:pPr>
        <w:jc w:val="both"/>
        <w:rPr>
          <w:rFonts w:ascii="Bookman Old Style" w:hAnsi="Bookman Old Style" w:cs="Arial"/>
          <w:b/>
          <w:bCs/>
          <w:sz w:val="24"/>
          <w:szCs w:val="24"/>
        </w:rPr>
      </w:pPr>
    </w:p>
    <w:p w14:paraId="55664F6B" w14:textId="77777777" w:rsidR="0097270F" w:rsidRDefault="0097270F" w:rsidP="0097270F">
      <w:pPr>
        <w:jc w:val="both"/>
        <w:rPr>
          <w:rFonts w:ascii="Bookman Old Style" w:hAnsi="Bookman Old Style" w:cs="Arial"/>
          <w:b/>
          <w:bCs/>
          <w:sz w:val="22"/>
          <w:szCs w:val="22"/>
        </w:rPr>
      </w:pPr>
    </w:p>
    <w:p w14:paraId="5101A046" w14:textId="77777777" w:rsidR="0097270F" w:rsidRPr="0097270F" w:rsidRDefault="0097270F" w:rsidP="0097270F">
      <w:pPr>
        <w:jc w:val="both"/>
        <w:rPr>
          <w:color w:val="1F497D"/>
          <w:sz w:val="24"/>
          <w:szCs w:val="24"/>
        </w:rPr>
      </w:pPr>
    </w:p>
    <w:p w14:paraId="466E868E" w14:textId="77777777" w:rsidR="0097270F" w:rsidRPr="0097270F" w:rsidRDefault="0097270F" w:rsidP="0097270F">
      <w:pPr>
        <w:rPr>
          <w:rFonts w:ascii="Calibri" w:hAnsi="Calibri"/>
          <w:color w:val="1F497D"/>
          <w:sz w:val="24"/>
          <w:szCs w:val="24"/>
        </w:rPr>
      </w:pPr>
    </w:p>
    <w:p w14:paraId="192CC95C" w14:textId="77777777" w:rsidR="0097270F" w:rsidRDefault="0097270F" w:rsidP="0097270F">
      <w:pPr>
        <w:jc w:val="both"/>
        <w:rPr>
          <w:rFonts w:ascii="Bookman Old Style" w:hAnsi="Bookman Old Style" w:cs="Arial"/>
          <w:b/>
          <w:bCs/>
          <w:sz w:val="22"/>
          <w:szCs w:val="22"/>
        </w:rPr>
      </w:pPr>
    </w:p>
    <w:p w14:paraId="663584BE" w14:textId="77777777" w:rsidR="0097270F" w:rsidRDefault="0097270F" w:rsidP="0097270F">
      <w:pPr>
        <w:jc w:val="both"/>
        <w:rPr>
          <w:rFonts w:ascii="Bookman Old Style" w:hAnsi="Bookman Old Style" w:cs="Arial"/>
          <w:b/>
          <w:bCs/>
          <w:sz w:val="22"/>
          <w:szCs w:val="22"/>
        </w:rPr>
      </w:pPr>
    </w:p>
    <w:p w14:paraId="2E326150" w14:textId="77777777" w:rsidR="0097270F" w:rsidRDefault="0097270F" w:rsidP="0097270F">
      <w:pPr>
        <w:jc w:val="both"/>
        <w:rPr>
          <w:rFonts w:ascii="Bookman Old Style" w:hAnsi="Bookman Old Style" w:cs="Arial"/>
          <w:b/>
          <w:bCs/>
          <w:sz w:val="22"/>
          <w:szCs w:val="22"/>
        </w:rPr>
      </w:pPr>
    </w:p>
    <w:p w14:paraId="5DCC104E" w14:textId="77777777" w:rsidR="0097270F" w:rsidRDefault="0097270F" w:rsidP="0097270F">
      <w:pPr>
        <w:jc w:val="both"/>
      </w:pPr>
    </w:p>
    <w:p w14:paraId="789A5CCB" w14:textId="77777777" w:rsidR="00846570" w:rsidRDefault="00846570" w:rsidP="0097270F">
      <w:pPr>
        <w:jc w:val="both"/>
      </w:pPr>
    </w:p>
    <w:sectPr w:rsidR="00846570" w:rsidSect="00846570">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57F297" w14:textId="77777777" w:rsidR="00DD13B7" w:rsidRDefault="00DD13B7" w:rsidP="00DD13B7">
      <w:r>
        <w:separator/>
      </w:r>
    </w:p>
  </w:endnote>
  <w:endnote w:type="continuationSeparator" w:id="0">
    <w:p w14:paraId="37785D63" w14:textId="77777777" w:rsidR="00DD13B7" w:rsidRDefault="00DD13B7" w:rsidP="00DD1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SimSun">
    <w:altName w:val="宋体"/>
    <w:panose1 w:val="00000000000000000000"/>
    <w:charset w:val="86"/>
    <w:family w:val="auto"/>
    <w:notTrueType/>
    <w:pitch w:val="variable"/>
    <w:sig w:usb0="00000001" w:usb1="080E0000" w:usb2="00000010" w:usb3="00000000" w:csb0="00040000" w:csb1="00000000"/>
  </w:font>
  <w:font w:name="ＭＳ 明朝">
    <w:charset w:val="4E"/>
    <w:family w:val="auto"/>
    <w:pitch w:val="variable"/>
    <w:sig w:usb0="E00002FF" w:usb1="6AC7FDFB" w:usb2="00000012" w:usb3="00000000" w:csb0="0002009F"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165812"/>
      <w:docPartObj>
        <w:docPartGallery w:val="Page Numbers (Bottom of Page)"/>
        <w:docPartUnique/>
      </w:docPartObj>
    </w:sdtPr>
    <w:sdtEndPr/>
    <w:sdtContent>
      <w:p w14:paraId="5E1BFFF9" w14:textId="77777777" w:rsidR="00DD13B7" w:rsidRDefault="003E1FE6">
        <w:pPr>
          <w:pStyle w:val="Pidipagina"/>
          <w:jc w:val="right"/>
        </w:pPr>
        <w:r>
          <w:fldChar w:fldCharType="begin"/>
        </w:r>
        <w:r>
          <w:instrText xml:space="preserve"> PAGE   \* MERGEFORMAT </w:instrText>
        </w:r>
        <w:r>
          <w:fldChar w:fldCharType="separate"/>
        </w:r>
        <w:r>
          <w:rPr>
            <w:noProof/>
          </w:rPr>
          <w:t>1</w:t>
        </w:r>
        <w:r>
          <w:rPr>
            <w:noProof/>
          </w:rPr>
          <w:fldChar w:fldCharType="end"/>
        </w:r>
      </w:p>
    </w:sdtContent>
  </w:sdt>
  <w:p w14:paraId="7337C966" w14:textId="77777777" w:rsidR="00DD13B7" w:rsidRDefault="00DD13B7">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E6DD7E" w14:textId="77777777" w:rsidR="00DD13B7" w:rsidRDefault="00DD13B7" w:rsidP="00DD13B7">
      <w:r>
        <w:separator/>
      </w:r>
    </w:p>
  </w:footnote>
  <w:footnote w:type="continuationSeparator" w:id="0">
    <w:p w14:paraId="2A2CFD73" w14:textId="77777777" w:rsidR="00DD13B7" w:rsidRDefault="00DD13B7" w:rsidP="00DD13B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582269"/>
    <w:multiLevelType w:val="multilevel"/>
    <w:tmpl w:val="5446982A"/>
    <w:styleLink w:val="WWNum16"/>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num w:numId="1">
    <w:abstractNumId w:val="0"/>
  </w:num>
  <w:num w:numId="2">
    <w:abstractNumId w:val="0"/>
    <w:lvlOverride w:ilvl="0">
      <w:lvl w:ilvl="0">
        <w:start w:val="1"/>
        <w:numFmt w:val="decimal"/>
        <w:lvlText w:val="%1."/>
        <w:lvlJc w:val="left"/>
        <w:pPr>
          <w:ind w:left="0" w:firstLine="0"/>
        </w:pPr>
        <w:rPr>
          <w:strike w:val="0"/>
        </w:r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97270F"/>
    <w:rsid w:val="001317E3"/>
    <w:rsid w:val="00303029"/>
    <w:rsid w:val="003E1FE6"/>
    <w:rsid w:val="0043039B"/>
    <w:rsid w:val="006A03F5"/>
    <w:rsid w:val="00846570"/>
    <w:rsid w:val="008D155C"/>
    <w:rsid w:val="008F31E0"/>
    <w:rsid w:val="0097270F"/>
    <w:rsid w:val="009C0ADA"/>
    <w:rsid w:val="009C3A69"/>
    <w:rsid w:val="00AE4EF1"/>
    <w:rsid w:val="00BB1EDB"/>
    <w:rsid w:val="00BC2A07"/>
    <w:rsid w:val="00BC405E"/>
    <w:rsid w:val="00D57E87"/>
    <w:rsid w:val="00DD13B7"/>
    <w:rsid w:val="00E41A8F"/>
    <w:rsid w:val="00E52CF9"/>
    <w:rsid w:val="00EA3A57"/>
    <w:rsid w:val="00EB6E7E"/>
    <w:rsid w:val="00FC56C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7DD9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7270F"/>
    <w:pPr>
      <w:spacing w:after="0" w:line="240" w:lineRule="auto"/>
    </w:pPr>
    <w:rPr>
      <w:rFonts w:ascii="Times New Roman" w:eastAsia="Times New Roman" w:hAnsi="Times New Roman" w:cs="Times New Roman"/>
      <w:sz w:val="20"/>
      <w:szCs w:val="20"/>
      <w:lang w:eastAsia="it-IT"/>
    </w:rPr>
  </w:style>
  <w:style w:type="paragraph" w:styleId="Titolo3">
    <w:name w:val="heading 3"/>
    <w:basedOn w:val="Normale"/>
    <w:next w:val="Normale"/>
    <w:link w:val="Titolo3Carattere"/>
    <w:uiPriority w:val="9"/>
    <w:unhideWhenUsed/>
    <w:qFormat/>
    <w:rsid w:val="0097270F"/>
    <w:pPr>
      <w:keepNext/>
      <w:keepLines/>
      <w:spacing w:before="200" w:line="276" w:lineRule="auto"/>
      <w:outlineLvl w:val="2"/>
    </w:pPr>
    <w:rPr>
      <w:rFonts w:ascii="Cambria" w:hAnsi="Cambria"/>
      <w:b/>
      <w:bCs/>
      <w:color w:val="4F81BD"/>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atterepredefinitoparagrafo"/>
    <w:link w:val="Titolo3"/>
    <w:uiPriority w:val="9"/>
    <w:rsid w:val="0097270F"/>
    <w:rPr>
      <w:rFonts w:ascii="Cambria" w:eastAsia="Times New Roman" w:hAnsi="Cambria" w:cs="Times New Roman"/>
      <w:b/>
      <w:bCs/>
      <w:color w:val="4F81BD"/>
      <w:sz w:val="20"/>
      <w:szCs w:val="20"/>
      <w:lang w:eastAsia="it-IT"/>
    </w:rPr>
  </w:style>
  <w:style w:type="paragraph" w:styleId="Paragrafoelenco">
    <w:name w:val="List Paragraph"/>
    <w:basedOn w:val="Normale"/>
    <w:uiPriority w:val="34"/>
    <w:qFormat/>
    <w:rsid w:val="0097270F"/>
    <w:pPr>
      <w:spacing w:after="200" w:line="276" w:lineRule="auto"/>
      <w:ind w:left="720"/>
      <w:contextualSpacing/>
    </w:pPr>
    <w:rPr>
      <w:rFonts w:ascii="Calibri" w:eastAsia="Calibri" w:hAnsi="Calibri"/>
      <w:sz w:val="22"/>
      <w:szCs w:val="22"/>
      <w:lang w:eastAsia="en-US"/>
    </w:rPr>
  </w:style>
  <w:style w:type="paragraph" w:customStyle="1" w:styleId="provvestremo">
    <w:name w:val="provv_estremo"/>
    <w:basedOn w:val="Normale"/>
    <w:rsid w:val="0097270F"/>
    <w:pPr>
      <w:spacing w:before="100" w:beforeAutospacing="1" w:after="100" w:afterAutospacing="1"/>
    </w:pPr>
    <w:rPr>
      <w:sz w:val="24"/>
      <w:szCs w:val="24"/>
    </w:rPr>
  </w:style>
  <w:style w:type="paragraph" w:customStyle="1" w:styleId="Standard">
    <w:name w:val="Standard"/>
    <w:uiPriority w:val="99"/>
    <w:rsid w:val="0097270F"/>
    <w:pPr>
      <w:suppressAutoHyphens/>
      <w:autoSpaceDN w:val="0"/>
      <w:spacing w:after="0" w:line="240" w:lineRule="auto"/>
    </w:pPr>
    <w:rPr>
      <w:rFonts w:ascii="Calibri" w:eastAsia="SimSun" w:hAnsi="Calibri" w:cs="Times New Roman"/>
      <w:kern w:val="3"/>
      <w:lang w:eastAsia="it-IT"/>
    </w:rPr>
  </w:style>
  <w:style w:type="character" w:customStyle="1" w:styleId="anchorantimarker">
    <w:name w:val="anchor_anti_marker"/>
    <w:basedOn w:val="Caratterepredefinitoparagrafo"/>
    <w:rsid w:val="0097270F"/>
  </w:style>
  <w:style w:type="numbering" w:customStyle="1" w:styleId="WWNum16">
    <w:name w:val="WWNum16"/>
    <w:rsid w:val="0097270F"/>
    <w:pPr>
      <w:numPr>
        <w:numId w:val="1"/>
      </w:numPr>
    </w:pPr>
  </w:style>
  <w:style w:type="paragraph" w:styleId="Intestazione">
    <w:name w:val="header"/>
    <w:basedOn w:val="Normale"/>
    <w:link w:val="IntestazioneCarattere"/>
    <w:uiPriority w:val="99"/>
    <w:semiHidden/>
    <w:unhideWhenUsed/>
    <w:rsid w:val="00DD13B7"/>
    <w:pPr>
      <w:tabs>
        <w:tab w:val="center" w:pos="4819"/>
        <w:tab w:val="right" w:pos="9638"/>
      </w:tabs>
    </w:pPr>
  </w:style>
  <w:style w:type="character" w:customStyle="1" w:styleId="IntestazioneCarattere">
    <w:name w:val="Intestazione Carattere"/>
    <w:basedOn w:val="Caratterepredefinitoparagrafo"/>
    <w:link w:val="Intestazione"/>
    <w:uiPriority w:val="99"/>
    <w:semiHidden/>
    <w:rsid w:val="00DD13B7"/>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DD13B7"/>
    <w:pPr>
      <w:tabs>
        <w:tab w:val="center" w:pos="4819"/>
        <w:tab w:val="right" w:pos="9638"/>
      </w:tabs>
    </w:pPr>
  </w:style>
  <w:style w:type="character" w:customStyle="1" w:styleId="PidipaginaCarattere">
    <w:name w:val="Piè di pagina Carattere"/>
    <w:basedOn w:val="Caratterepredefinitoparagrafo"/>
    <w:link w:val="Pidipagina"/>
    <w:uiPriority w:val="99"/>
    <w:rsid w:val="00DD13B7"/>
    <w:rPr>
      <w:rFonts w:ascii="Times New Roman" w:eastAsia="Times New Roman" w:hAnsi="Times New Roman" w:cs="Times New Roman"/>
      <w:sz w:val="20"/>
      <w:szCs w:val="20"/>
      <w:lang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719680">
      <w:bodyDiv w:val="1"/>
      <w:marLeft w:val="0"/>
      <w:marRight w:val="0"/>
      <w:marTop w:val="0"/>
      <w:marBottom w:val="0"/>
      <w:divBdr>
        <w:top w:val="none" w:sz="0" w:space="0" w:color="auto"/>
        <w:left w:val="none" w:sz="0" w:space="0" w:color="auto"/>
        <w:bottom w:val="none" w:sz="0" w:space="0" w:color="auto"/>
        <w:right w:val="none" w:sz="0" w:space="0" w:color="auto"/>
      </w:divBdr>
    </w:div>
    <w:div w:id="972364827">
      <w:bodyDiv w:val="1"/>
      <w:marLeft w:val="0"/>
      <w:marRight w:val="0"/>
      <w:marTop w:val="0"/>
      <w:marBottom w:val="0"/>
      <w:divBdr>
        <w:top w:val="none" w:sz="0" w:space="0" w:color="auto"/>
        <w:left w:val="none" w:sz="0" w:space="0" w:color="auto"/>
        <w:bottom w:val="none" w:sz="0" w:space="0" w:color="auto"/>
        <w:right w:val="none" w:sz="0" w:space="0" w:color="auto"/>
      </w:divBdr>
    </w:div>
    <w:div w:id="17822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5</Pages>
  <Words>2084</Words>
  <Characters>11884</Characters>
  <Application>Microsoft Macintosh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d.formiconi</dc:creator>
  <cp:keywords/>
  <dc:description/>
  <cp:lastModifiedBy>******* ********* **************</cp:lastModifiedBy>
  <cp:revision>10</cp:revision>
  <cp:lastPrinted>2015-12-16T11:08:00Z</cp:lastPrinted>
  <dcterms:created xsi:type="dcterms:W3CDTF">2015-12-02T14:36:00Z</dcterms:created>
  <dcterms:modified xsi:type="dcterms:W3CDTF">2015-12-16T18:25:00Z</dcterms:modified>
</cp:coreProperties>
</file>