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D62" w:rsidRDefault="00F83D62" w:rsidP="00F83D62">
      <w:pPr>
        <w:jc w:val="both"/>
      </w:pPr>
    </w:p>
    <w:p w:rsidR="00F83D62" w:rsidRDefault="00F83D62" w:rsidP="00F83D62">
      <w:pPr>
        <w:jc w:val="both"/>
      </w:pPr>
      <w:r w:rsidRPr="001054B9">
        <w:rPr>
          <w:b/>
        </w:rPr>
        <w:t>Sintesi  del dibattito</w:t>
      </w:r>
      <w:r w:rsidR="008311E4">
        <w:rPr>
          <w:b/>
        </w:rPr>
        <w:t xml:space="preserve"> su migrazione e sviluppo</w:t>
      </w:r>
      <w:r>
        <w:t>:</w:t>
      </w:r>
    </w:p>
    <w:p w:rsidR="00F83D62" w:rsidRDefault="00F83D62" w:rsidP="00F83D62">
      <w:pPr>
        <w:jc w:val="both"/>
      </w:pPr>
      <w:r>
        <w:t xml:space="preserve">Il Ministro </w:t>
      </w:r>
      <w:proofErr w:type="spellStart"/>
      <w:r>
        <w:t>Gentiloni</w:t>
      </w:r>
      <w:proofErr w:type="spellEnd"/>
      <w:r>
        <w:t xml:space="preserve"> aprendo i lavori ha evidenziato la forte rilevanza strategica della cooperazione internazionale nella fase di grave crisi che attraversiamo e il cambiamento in atto con la piena entrata in vigore della nuova legge 125 sulla  cooperazione;  l’aumento dei fondi  che verranno destinati nei prossimi tre anni, sebbene ancora insufficiente, attesta l’inversione di tendenza e l’impegno programmatico pluriennale, e vi è un’accresciuta consapevolezza politica che deriva dall’attivo coinvolgimento di tutto il governo,  oggi la cooperazione è tra le 11 priorità della Legge di Stabilità.  Il Ministro ha indicato come prima priorità della cooperazione italiana l’azione sulle cause profonde della migrazione e ha riferito del forte impegno italiano nella promozione del fondo fiduciario UE per i migranti costituito nel recente vertice di La Valletta,  al quale l’Italia ha dato un contributo aggiuntivo di 10 milioni di €.  Il Sotto Segretario Della Vedova ha poi introdotto il dibattito tematico su migrazione e sviluppo  continuando a sottolineare  la necessità di sviluppare un approccio integrato con la cooperazione nell’affrontare i flussi migratori crescenti, superando l’ottica </w:t>
      </w:r>
      <w:proofErr w:type="spellStart"/>
      <w:r>
        <w:t>securitaria</w:t>
      </w:r>
      <w:proofErr w:type="spellEnd"/>
      <w:r>
        <w:t xml:space="preserve"> ed emergenziale e </w:t>
      </w:r>
      <w:r w:rsidRPr="00690176">
        <w:t xml:space="preserve"> </w:t>
      </w:r>
      <w:r>
        <w:t>valorizzando il contributo che le migrazioni danno allo sviluppo, in linea con quanto fatto durante il semestre di Presidenza italiana dell’UE, che ha portato all’inserimento della migrazione come fattore di sviluppo</w:t>
      </w:r>
      <w:r w:rsidRPr="0003166E">
        <w:t xml:space="preserve"> </w:t>
      </w:r>
      <w:r>
        <w:t>nell’Agenda internazionale 2030.</w:t>
      </w:r>
    </w:p>
    <w:p w:rsidR="00F83D62" w:rsidRDefault="00F83D62" w:rsidP="00F83D62">
      <w:pPr>
        <w:jc w:val="both"/>
      </w:pPr>
      <w:r>
        <w:t xml:space="preserve">   Gli interventi degli ospiti hanno evidenziato il fatto che migrazione e cooperazione non sono alternative ma complementari nell’orientamento al </w:t>
      </w:r>
      <w:proofErr w:type="spellStart"/>
      <w:r>
        <w:t>co-sviluppo</w:t>
      </w:r>
      <w:proofErr w:type="spellEnd"/>
      <w:r>
        <w:t xml:space="preserve"> (Sen. </w:t>
      </w:r>
      <w:proofErr w:type="spellStart"/>
      <w:r>
        <w:t>Cociancich</w:t>
      </w:r>
      <w:proofErr w:type="spellEnd"/>
      <w:r>
        <w:t>) e che è stato necessario un lungo lavoro di 15 anni per ottenere il riconoscimento nell’Agenda 2030, che è necessario considerare il particolare contesto dei flussi migratori nel Mediterraneo che presenta  una maggiore difficoltà di gestione per il soccorso delle persone  imbarcate e per il   riconoscimento del diritto d’asilo  (OIM); che è necessario distinguere tra migranti e rifugiati per poter garantire i diritti derivanti dalla protezione internazionale e  potenziare la capacità di accoglienza e l’accesso stesso alla protezione internazionale,  della Grecia e dei Balcani in particolare che ora vedono il più alto flusso di rifugiati e dove si dovranno creare almeno 100.000 posti di accoglienza, ma anche di tutti gli altri Paesi(UNHCR); questa distinzione è importante anche per poter impostare efficaci politiche di cooperazione nei paesi di provenienza  e agire sulle cause reali della migrazione  affrontando le situazioni di governi dittatoriali e di conflitto diversamente da quelle di ritardo di sviluppo; nella impostazione di programmi di cooperazione mirati si dovrà coinvolgere maggiormente la diaspora, focalizzare l’azione sulla creazione di opportunità di formazione e lavoro e orientare in tal senso gli investimenti del settore privato   (</w:t>
      </w:r>
      <w:proofErr w:type="spellStart"/>
      <w:r>
        <w:t>On.le</w:t>
      </w:r>
      <w:proofErr w:type="spellEnd"/>
      <w:r>
        <w:t xml:space="preserve"> </w:t>
      </w:r>
      <w:proofErr w:type="spellStart"/>
      <w:r>
        <w:t>Quartapelle</w:t>
      </w:r>
      <w:proofErr w:type="spellEnd"/>
      <w:r>
        <w:t xml:space="preserve">); le associazioni delle ONG hanno rilevato in proposito la perdurante assenza di un programma di visione su migrazione e sviluppo sul quale la riflessione avviata da tempo si  è fermata in attesa dell’entrata  in funzione dell’Agenzia. L’impegno della Commissione europea nel definire politiche (l’agenda UE per la migrazione) e strumenti (il Fondo fiduciario voluto dal Presidente </w:t>
      </w:r>
      <w:proofErr w:type="spellStart"/>
      <w:r>
        <w:t>Juncker</w:t>
      </w:r>
      <w:proofErr w:type="spellEnd"/>
      <w:r>
        <w:t xml:space="preserve"> che stanzia 1.500 milioni di € dal bilancio UE e dal FES, ai quali si aggiungono 81 milioni aggiuntivi dagli Stati membri),  è stato illustrato dal Direttore </w:t>
      </w:r>
      <w:proofErr w:type="spellStart"/>
      <w:r>
        <w:t>Montesi</w:t>
      </w:r>
      <w:proofErr w:type="spellEnd"/>
      <w:r>
        <w:t xml:space="preserve"> che ha sottolineato il carattere innovativo di questo strumento che consentirà l’interazione con contributi di altri donatori e interventi rapidi e mirati a ricostruire situazioni di stabilità in alcune aree critiche. Nel Consiglio strategico del Fondo sono presenti anche la Confederazione Elvetica e la Norvegia.</w:t>
      </w:r>
    </w:p>
    <w:p w:rsidR="000F123E" w:rsidRDefault="000F123E" w:rsidP="00F83D62">
      <w:pPr>
        <w:jc w:val="both"/>
      </w:pPr>
      <w:r>
        <w:t>Negli interventi dei componenti il CNCS è emersa   preoccupazione rispetto alla destinazione delle risorse del Fondo fiduciar</w:t>
      </w:r>
      <w:r w:rsidR="00E801DC">
        <w:t xml:space="preserve">io verso azioni più mirate a interventi sulla sicurezza che alla risoluzione delle cause e alla ricomposizione dei conflitti ( </w:t>
      </w:r>
      <w:r w:rsidR="006D4AF4">
        <w:t xml:space="preserve">AOI, Regione Toscana) </w:t>
      </w:r>
      <w:r w:rsidR="00E801DC">
        <w:t xml:space="preserve">ed anche rispetto alla relazione con le altre linee di finanziamento dell’azione di cooperazione dell’UE e dei singoli Stati membri </w:t>
      </w:r>
      <w:r w:rsidR="006D4AF4">
        <w:t>considerato la coincidenza delle tematiche, pur apprezzando l’orientamento a riconoscere il ruolo dei migranti nello sviluppo</w:t>
      </w:r>
      <w:r w:rsidR="00430C23">
        <w:t xml:space="preserve"> e la </w:t>
      </w:r>
      <w:r w:rsidR="00430C23">
        <w:lastRenderedPageBreak/>
        <w:t>possibilità di contribuire ad aumentare la capacità di accoglienza in altri paesi</w:t>
      </w:r>
      <w:r w:rsidR="00E801DC">
        <w:t>(Anci)</w:t>
      </w:r>
      <w:r w:rsidR="006D4AF4">
        <w:t>. Il rappresentante del Ministero della Salute ha evidenziato i particolari problemi sanitari che il flusso dei migranti pone nel suo passaggio</w:t>
      </w:r>
      <w:r w:rsidR="00430C23">
        <w:t>,</w:t>
      </w:r>
      <w:r w:rsidR="007B2B24">
        <w:t xml:space="preserve"> anche in ragione delle distorsioni generate dal traffico di organi, dalla difficoltà di stabilire la</w:t>
      </w:r>
      <w:r w:rsidR="00430C23">
        <w:t xml:space="preserve"> vera provenienza delle persone in relazione alle epidemie presenti in alcuni paesi, dalla frequente detenzione in carcere, considerando anche che il contributo allo sviluppo che i migranti danno si attiva nel paese di destinazione. </w:t>
      </w:r>
    </w:p>
    <w:p w:rsidR="00F83D62" w:rsidRDefault="00F83D62" w:rsidP="00F83D62">
      <w:pPr>
        <w:jc w:val="both"/>
      </w:pPr>
    </w:p>
    <w:p w:rsidR="00F83D62" w:rsidRDefault="00F83D62" w:rsidP="00F83D62">
      <w:pPr>
        <w:jc w:val="both"/>
      </w:pPr>
      <w:r>
        <w:t xml:space="preserve">  </w:t>
      </w:r>
    </w:p>
    <w:p w:rsidR="002E3C5A" w:rsidRDefault="002E3C5A" w:rsidP="008311E4">
      <w:pPr>
        <w:pStyle w:val="Nessunaspaziatura"/>
      </w:pPr>
    </w:p>
    <w:sectPr w:rsidR="002E3C5A" w:rsidSect="002E3C5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83D62"/>
    <w:rsid w:val="000F123E"/>
    <w:rsid w:val="002E3C5A"/>
    <w:rsid w:val="00430C23"/>
    <w:rsid w:val="006D4AF4"/>
    <w:rsid w:val="007B2B24"/>
    <w:rsid w:val="008311E4"/>
    <w:rsid w:val="00BB4922"/>
    <w:rsid w:val="00E801DC"/>
    <w:rsid w:val="00E961BC"/>
    <w:rsid w:val="00F83D6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83D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8311E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742</Words>
  <Characters>4234</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dc:creator>
  <cp:lastModifiedBy>sp</cp:lastModifiedBy>
  <cp:revision>2</cp:revision>
  <dcterms:created xsi:type="dcterms:W3CDTF">2015-12-11T12:59:00Z</dcterms:created>
  <dcterms:modified xsi:type="dcterms:W3CDTF">2015-12-11T12:59:00Z</dcterms:modified>
</cp:coreProperties>
</file>