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ADB" w:rsidRPr="00532A07" w:rsidRDefault="00664ADB" w:rsidP="00664ADB">
      <w:pPr>
        <w:spacing w:after="0" w:line="240" w:lineRule="auto"/>
        <w:jc w:val="center"/>
        <w:textAlignment w:val="baseline"/>
        <w:rPr>
          <w:rFonts w:ascii="Candara" w:eastAsia="Times New Roman" w:hAnsi="Candara" w:cs="Times New Roman"/>
          <w:b/>
          <w:bCs/>
          <w:sz w:val="27"/>
          <w:szCs w:val="28"/>
          <w:highlight w:val="yellow"/>
          <w:lang w:eastAsia="it-IT"/>
        </w:rPr>
      </w:pPr>
      <w:r>
        <w:rPr>
          <w:rFonts w:ascii="Candara" w:hAnsi="Candara"/>
          <w:b/>
          <w:bCs/>
          <w:smallCaps/>
          <w:noProof/>
          <w:lang w:eastAsia="it-IT"/>
        </w:rPr>
        <w:drawing>
          <wp:inline distT="0" distB="0" distL="0" distR="0" wp14:anchorId="11C0FD35" wp14:editId="33BE9D64">
            <wp:extent cx="1012385" cy="1486894"/>
            <wp:effectExtent l="0" t="0" r="0" b="0"/>
            <wp:docPr id="2" name="Immagine 2" descr="LOGO 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ANC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624" cy="1487245"/>
                    </a:xfrm>
                    <a:prstGeom prst="rect">
                      <a:avLst/>
                    </a:prstGeom>
                    <a:noFill/>
                    <a:ln>
                      <a:noFill/>
                    </a:ln>
                  </pic:spPr>
                </pic:pic>
              </a:graphicData>
            </a:graphic>
          </wp:inline>
        </w:drawing>
      </w:r>
    </w:p>
    <w:p w:rsidR="00664ADB" w:rsidRPr="00532A07" w:rsidRDefault="00664ADB" w:rsidP="00664ADB">
      <w:pPr>
        <w:spacing w:after="0" w:line="240" w:lineRule="auto"/>
        <w:jc w:val="center"/>
        <w:textAlignment w:val="baseline"/>
        <w:rPr>
          <w:rFonts w:ascii="Candara" w:eastAsia="Times New Roman" w:hAnsi="Candara" w:cs="Times New Roman"/>
          <w:b/>
          <w:bCs/>
          <w:sz w:val="27"/>
          <w:szCs w:val="28"/>
          <w:highlight w:val="yellow"/>
          <w:lang w:eastAsia="it-IT"/>
        </w:rPr>
      </w:pPr>
    </w:p>
    <w:p w:rsidR="002E0B86" w:rsidRPr="008E708A" w:rsidRDefault="002E0B86" w:rsidP="002E0B86">
      <w:pPr>
        <w:jc w:val="center"/>
        <w:rPr>
          <w:rFonts w:ascii="Bookman Old Style" w:eastAsia="Bookman Old Style" w:hAnsi="Bookman Old Style" w:cs="Bookman Old Style"/>
          <w:b/>
          <w:bCs/>
          <w:sz w:val="32"/>
          <w:szCs w:val="32"/>
        </w:rPr>
      </w:pPr>
      <w:r w:rsidRPr="008E708A">
        <w:rPr>
          <w:rFonts w:ascii="Bookman Old Style" w:eastAsia="Bookman Old Style" w:hAnsi="Bookman Old Style" w:cs="Bookman Old Style"/>
          <w:b/>
          <w:bCs/>
          <w:sz w:val="32"/>
          <w:szCs w:val="32"/>
        </w:rPr>
        <w:t xml:space="preserve">Audizione informale ANCI </w:t>
      </w:r>
    </w:p>
    <w:p w:rsidR="00664ADB" w:rsidRPr="002E0B86" w:rsidRDefault="00664ADB" w:rsidP="002E0B86">
      <w:pPr>
        <w:jc w:val="center"/>
        <w:rPr>
          <w:rFonts w:ascii="Bookman Old Style" w:eastAsia="Bookman Old Style" w:hAnsi="Bookman Old Style" w:cs="Bookman Old Style"/>
          <w:b/>
          <w:bCs/>
          <w:sz w:val="24"/>
          <w:szCs w:val="24"/>
        </w:rPr>
      </w:pPr>
      <w:r w:rsidRPr="002E0B86">
        <w:rPr>
          <w:rFonts w:ascii="Bookman Old Style" w:eastAsia="Bookman Old Style" w:hAnsi="Bookman Old Style" w:cs="Bookman Old Style"/>
          <w:b/>
          <w:bCs/>
          <w:sz w:val="24"/>
          <w:szCs w:val="24"/>
        </w:rPr>
        <w:t xml:space="preserve">presso la X Commissione del Senato </w:t>
      </w:r>
    </w:p>
    <w:p w:rsidR="00664ADB" w:rsidRDefault="00664ADB" w:rsidP="00664ADB">
      <w:pPr>
        <w:spacing w:after="0" w:line="240" w:lineRule="auto"/>
        <w:jc w:val="center"/>
        <w:textAlignment w:val="baseline"/>
        <w:rPr>
          <w:rFonts w:ascii="Candara" w:eastAsia="Times New Roman" w:hAnsi="Candara" w:cs="Times New Roman"/>
          <w:b/>
          <w:bCs/>
          <w:sz w:val="36"/>
          <w:szCs w:val="36"/>
          <w:lang w:eastAsia="it-IT"/>
        </w:rPr>
      </w:pPr>
    </w:p>
    <w:p w:rsidR="00664ADB" w:rsidRPr="002E0B86" w:rsidRDefault="00664ADB" w:rsidP="002E0B86">
      <w:pPr>
        <w:jc w:val="center"/>
        <w:rPr>
          <w:rFonts w:ascii="Bookman Old Style" w:eastAsia="Bookman Old Style" w:hAnsi="Bookman Old Style" w:cs="Bookman Old Style"/>
          <w:b/>
          <w:bCs/>
          <w:sz w:val="24"/>
          <w:szCs w:val="24"/>
        </w:rPr>
      </w:pPr>
      <w:r w:rsidRPr="002E0B86">
        <w:rPr>
          <w:rFonts w:ascii="Bookman Old Style" w:eastAsia="Bookman Old Style" w:hAnsi="Bookman Old Style" w:cs="Bookman Old Style"/>
          <w:b/>
          <w:bCs/>
          <w:sz w:val="24"/>
          <w:szCs w:val="24"/>
        </w:rPr>
        <w:t>nell’ambito dell’affare assegnato sulle iniziative di sostegno ai comparti dell'industria, del commercio e del turismo nell'ambito della congiuntura economica conseguente all'emergenza da COVID-19</w:t>
      </w:r>
    </w:p>
    <w:p w:rsidR="000E5787" w:rsidRDefault="000E5787" w:rsidP="00C66EA9">
      <w:pPr>
        <w:jc w:val="right"/>
        <w:rPr>
          <w:rFonts w:ascii="Bookman Old Style" w:eastAsia="Bookman Old Style" w:hAnsi="Bookman Old Style" w:cs="Bookman Old Style"/>
          <w:b/>
          <w:bCs/>
          <w:sz w:val="24"/>
          <w:szCs w:val="24"/>
        </w:rPr>
      </w:pPr>
    </w:p>
    <w:p w:rsidR="00EA3261" w:rsidRDefault="00EA3261" w:rsidP="00C66EA9">
      <w:pPr>
        <w:jc w:val="right"/>
        <w:rPr>
          <w:rFonts w:ascii="Bookman Old Style" w:eastAsia="Bookman Old Style" w:hAnsi="Bookman Old Style" w:cs="Bookman Old Style"/>
          <w:b/>
          <w:bCs/>
          <w:sz w:val="24"/>
          <w:szCs w:val="24"/>
        </w:rPr>
      </w:pPr>
    </w:p>
    <w:p w:rsidR="00EA3261" w:rsidRDefault="00EA3261" w:rsidP="00C66EA9">
      <w:pPr>
        <w:jc w:val="right"/>
        <w:rPr>
          <w:rFonts w:ascii="Bookman Old Style" w:eastAsia="Bookman Old Style" w:hAnsi="Bookman Old Style" w:cs="Bookman Old Style"/>
          <w:b/>
          <w:bCs/>
          <w:sz w:val="24"/>
          <w:szCs w:val="24"/>
        </w:rPr>
      </w:pPr>
    </w:p>
    <w:p w:rsidR="00EA3261" w:rsidRDefault="00EA3261" w:rsidP="00C66EA9">
      <w:pPr>
        <w:jc w:val="right"/>
        <w:rPr>
          <w:rFonts w:ascii="Bookman Old Style" w:eastAsia="Bookman Old Style" w:hAnsi="Bookman Old Style" w:cs="Bookman Old Style"/>
          <w:b/>
          <w:bCs/>
          <w:sz w:val="24"/>
          <w:szCs w:val="24"/>
        </w:rPr>
      </w:pPr>
    </w:p>
    <w:sdt>
      <w:sdtPr>
        <w:rPr>
          <w:rFonts w:asciiTheme="minorHAnsi" w:eastAsiaTheme="minorHAnsi" w:hAnsiTheme="minorHAnsi" w:cstheme="minorBidi"/>
          <w:color w:val="auto"/>
          <w:sz w:val="22"/>
          <w:szCs w:val="22"/>
          <w:lang w:eastAsia="en-US"/>
        </w:rPr>
        <w:id w:val="491073206"/>
        <w:docPartObj>
          <w:docPartGallery w:val="Table of Contents"/>
          <w:docPartUnique/>
        </w:docPartObj>
      </w:sdtPr>
      <w:sdtEndPr>
        <w:rPr>
          <w:b/>
          <w:bCs/>
        </w:rPr>
      </w:sdtEndPr>
      <w:sdtContent>
        <w:p w:rsidR="000E5787" w:rsidRDefault="000E5787">
          <w:pPr>
            <w:pStyle w:val="Titolosommario"/>
          </w:pPr>
          <w:r>
            <w:t>Sommario</w:t>
          </w:r>
        </w:p>
        <w:p w:rsidR="00C66EA9" w:rsidRDefault="000E5787">
          <w:pPr>
            <w:pStyle w:val="Sommario1"/>
            <w:rPr>
              <w:rFonts w:eastAsiaTheme="minorEastAsia"/>
              <w:b w:val="0"/>
              <w:bCs w:val="0"/>
              <w:lang w:eastAsia="it-IT"/>
            </w:rPr>
          </w:pPr>
          <w:r>
            <w:fldChar w:fldCharType="begin"/>
          </w:r>
          <w:r>
            <w:instrText xml:space="preserve"> TOC \o "1-3" \h \z \u </w:instrText>
          </w:r>
          <w:r>
            <w:fldChar w:fldCharType="separate"/>
          </w:r>
          <w:hyperlink w:anchor="_Toc42609808" w:history="1">
            <w:r w:rsidR="00C66EA9" w:rsidRPr="00CC0106">
              <w:rPr>
                <w:rStyle w:val="Collegamentoipertestuale"/>
              </w:rPr>
              <w:t>Premessa</w:t>
            </w:r>
            <w:r w:rsidR="00C66EA9">
              <w:rPr>
                <w:webHidden/>
              </w:rPr>
              <w:tab/>
            </w:r>
            <w:r w:rsidR="00C66EA9">
              <w:rPr>
                <w:webHidden/>
              </w:rPr>
              <w:fldChar w:fldCharType="begin"/>
            </w:r>
            <w:r w:rsidR="00C66EA9">
              <w:rPr>
                <w:webHidden/>
              </w:rPr>
              <w:instrText xml:space="preserve"> PAGEREF _Toc42609808 \h </w:instrText>
            </w:r>
            <w:r w:rsidR="00C66EA9">
              <w:rPr>
                <w:webHidden/>
              </w:rPr>
            </w:r>
            <w:r w:rsidR="00C66EA9">
              <w:rPr>
                <w:webHidden/>
              </w:rPr>
              <w:fldChar w:fldCharType="separate"/>
            </w:r>
            <w:r w:rsidR="00C66EA9">
              <w:rPr>
                <w:webHidden/>
              </w:rPr>
              <w:t>2</w:t>
            </w:r>
            <w:r w:rsidR="00C66EA9">
              <w:rPr>
                <w:webHidden/>
              </w:rPr>
              <w:fldChar w:fldCharType="end"/>
            </w:r>
          </w:hyperlink>
        </w:p>
        <w:p w:rsidR="00C66EA9" w:rsidRDefault="00CE6C6C">
          <w:pPr>
            <w:pStyle w:val="Sommario1"/>
            <w:rPr>
              <w:rFonts w:eastAsiaTheme="minorEastAsia"/>
              <w:b w:val="0"/>
              <w:bCs w:val="0"/>
              <w:lang w:eastAsia="it-IT"/>
            </w:rPr>
          </w:pPr>
          <w:hyperlink w:anchor="_Toc42609809" w:history="1">
            <w:r w:rsidR="00C66EA9" w:rsidRPr="00CC0106">
              <w:rPr>
                <w:rStyle w:val="Collegamentoipertestuale"/>
              </w:rPr>
              <w:t>Le ripercussioni della crisi sulle attività produttive</w:t>
            </w:r>
            <w:r w:rsidR="00C66EA9">
              <w:rPr>
                <w:webHidden/>
              </w:rPr>
              <w:tab/>
            </w:r>
            <w:r w:rsidR="00C66EA9">
              <w:rPr>
                <w:webHidden/>
              </w:rPr>
              <w:fldChar w:fldCharType="begin"/>
            </w:r>
            <w:r w:rsidR="00C66EA9">
              <w:rPr>
                <w:webHidden/>
              </w:rPr>
              <w:instrText xml:space="preserve"> PAGEREF _Toc42609809 \h </w:instrText>
            </w:r>
            <w:r w:rsidR="00C66EA9">
              <w:rPr>
                <w:webHidden/>
              </w:rPr>
            </w:r>
            <w:r w:rsidR="00C66EA9">
              <w:rPr>
                <w:webHidden/>
              </w:rPr>
              <w:fldChar w:fldCharType="separate"/>
            </w:r>
            <w:r w:rsidR="00C66EA9">
              <w:rPr>
                <w:webHidden/>
              </w:rPr>
              <w:t>2</w:t>
            </w:r>
            <w:r w:rsidR="00C66EA9">
              <w:rPr>
                <w:webHidden/>
              </w:rPr>
              <w:fldChar w:fldCharType="end"/>
            </w:r>
          </w:hyperlink>
        </w:p>
        <w:p w:rsidR="00C66EA9" w:rsidRDefault="00CE6C6C">
          <w:pPr>
            <w:pStyle w:val="Sommario1"/>
            <w:rPr>
              <w:rFonts w:eastAsiaTheme="minorEastAsia"/>
              <w:b w:val="0"/>
              <w:bCs w:val="0"/>
              <w:lang w:eastAsia="it-IT"/>
            </w:rPr>
          </w:pPr>
          <w:hyperlink w:anchor="_Toc42609810" w:history="1">
            <w:r w:rsidR="00C66EA9" w:rsidRPr="00CC0106">
              <w:rPr>
                <w:rStyle w:val="Collegamentoipertestuale"/>
              </w:rPr>
              <w:t>Le ripercussioni della crisi sui Comuni e le necessità d’intervento</w:t>
            </w:r>
            <w:r w:rsidR="00C66EA9">
              <w:rPr>
                <w:webHidden/>
              </w:rPr>
              <w:tab/>
            </w:r>
            <w:r w:rsidR="00C66EA9">
              <w:rPr>
                <w:webHidden/>
              </w:rPr>
              <w:fldChar w:fldCharType="begin"/>
            </w:r>
            <w:r w:rsidR="00C66EA9">
              <w:rPr>
                <w:webHidden/>
              </w:rPr>
              <w:instrText xml:space="preserve"> PAGEREF _Toc42609810 \h </w:instrText>
            </w:r>
            <w:r w:rsidR="00C66EA9">
              <w:rPr>
                <w:webHidden/>
              </w:rPr>
            </w:r>
            <w:r w:rsidR="00C66EA9">
              <w:rPr>
                <w:webHidden/>
              </w:rPr>
              <w:fldChar w:fldCharType="separate"/>
            </w:r>
            <w:r w:rsidR="00C66EA9">
              <w:rPr>
                <w:webHidden/>
              </w:rPr>
              <w:t>3</w:t>
            </w:r>
            <w:r w:rsidR="00C66EA9">
              <w:rPr>
                <w:webHidden/>
              </w:rPr>
              <w:fldChar w:fldCharType="end"/>
            </w:r>
          </w:hyperlink>
        </w:p>
        <w:p w:rsidR="00C66EA9" w:rsidRDefault="00CE6C6C">
          <w:pPr>
            <w:pStyle w:val="Sommario2"/>
            <w:tabs>
              <w:tab w:val="left" w:pos="660"/>
              <w:tab w:val="right" w:leader="dot" w:pos="9628"/>
            </w:tabs>
            <w:rPr>
              <w:rFonts w:eastAsiaTheme="minorEastAsia"/>
              <w:noProof/>
              <w:lang w:eastAsia="it-IT"/>
            </w:rPr>
          </w:pPr>
          <w:hyperlink w:anchor="_Toc42609811" w:history="1">
            <w:r w:rsidR="00C66EA9" w:rsidRPr="00CC0106">
              <w:rPr>
                <w:rStyle w:val="Collegamentoipertestuale"/>
                <w:rFonts w:ascii="Wingdings" w:hAnsi="Wingdings"/>
                <w:bCs/>
                <w:noProof/>
              </w:rPr>
              <w:t></w:t>
            </w:r>
            <w:r w:rsidR="00C66EA9">
              <w:rPr>
                <w:rFonts w:eastAsiaTheme="minorEastAsia"/>
                <w:noProof/>
                <w:lang w:eastAsia="it-IT"/>
              </w:rPr>
              <w:tab/>
            </w:r>
            <w:r w:rsidR="00C66EA9" w:rsidRPr="00CC0106">
              <w:rPr>
                <w:rStyle w:val="Collegamentoipertestuale"/>
                <w:b/>
                <w:bCs/>
                <w:noProof/>
              </w:rPr>
              <w:t>Il turismo</w:t>
            </w:r>
            <w:r w:rsidR="00C66EA9">
              <w:rPr>
                <w:noProof/>
                <w:webHidden/>
              </w:rPr>
              <w:tab/>
            </w:r>
            <w:r w:rsidR="00C66EA9">
              <w:rPr>
                <w:noProof/>
                <w:webHidden/>
              </w:rPr>
              <w:fldChar w:fldCharType="begin"/>
            </w:r>
            <w:r w:rsidR="00C66EA9">
              <w:rPr>
                <w:noProof/>
                <w:webHidden/>
              </w:rPr>
              <w:instrText xml:space="preserve"> PAGEREF _Toc42609811 \h </w:instrText>
            </w:r>
            <w:r w:rsidR="00C66EA9">
              <w:rPr>
                <w:noProof/>
                <w:webHidden/>
              </w:rPr>
            </w:r>
            <w:r w:rsidR="00C66EA9">
              <w:rPr>
                <w:noProof/>
                <w:webHidden/>
              </w:rPr>
              <w:fldChar w:fldCharType="separate"/>
            </w:r>
            <w:r w:rsidR="00C66EA9">
              <w:rPr>
                <w:noProof/>
                <w:webHidden/>
              </w:rPr>
              <w:t>6</w:t>
            </w:r>
            <w:r w:rsidR="00C66EA9">
              <w:rPr>
                <w:noProof/>
                <w:webHidden/>
              </w:rPr>
              <w:fldChar w:fldCharType="end"/>
            </w:r>
          </w:hyperlink>
        </w:p>
        <w:p w:rsidR="00C66EA9" w:rsidRDefault="00CE6C6C">
          <w:pPr>
            <w:pStyle w:val="Sommario2"/>
            <w:tabs>
              <w:tab w:val="left" w:pos="660"/>
              <w:tab w:val="right" w:leader="dot" w:pos="9628"/>
            </w:tabs>
            <w:rPr>
              <w:rFonts w:eastAsiaTheme="minorEastAsia"/>
              <w:noProof/>
              <w:lang w:eastAsia="it-IT"/>
            </w:rPr>
          </w:pPr>
          <w:hyperlink w:anchor="_Toc42609812" w:history="1">
            <w:r w:rsidR="00C66EA9" w:rsidRPr="00CC0106">
              <w:rPr>
                <w:rStyle w:val="Collegamentoipertestuale"/>
                <w:rFonts w:ascii="Wingdings" w:hAnsi="Wingdings"/>
                <w:bCs/>
                <w:noProof/>
              </w:rPr>
              <w:t></w:t>
            </w:r>
            <w:r w:rsidR="00C66EA9">
              <w:rPr>
                <w:rFonts w:eastAsiaTheme="minorEastAsia"/>
                <w:noProof/>
                <w:lang w:eastAsia="it-IT"/>
              </w:rPr>
              <w:tab/>
            </w:r>
            <w:r w:rsidR="00C66EA9" w:rsidRPr="00CC0106">
              <w:rPr>
                <w:rStyle w:val="Collegamentoipertestuale"/>
                <w:b/>
                <w:bCs/>
                <w:noProof/>
              </w:rPr>
              <w:t>Il commercio e l’artigianato</w:t>
            </w:r>
            <w:r w:rsidR="00C66EA9">
              <w:rPr>
                <w:noProof/>
                <w:webHidden/>
              </w:rPr>
              <w:tab/>
            </w:r>
            <w:r w:rsidR="00C66EA9">
              <w:rPr>
                <w:noProof/>
                <w:webHidden/>
              </w:rPr>
              <w:fldChar w:fldCharType="begin"/>
            </w:r>
            <w:r w:rsidR="00C66EA9">
              <w:rPr>
                <w:noProof/>
                <w:webHidden/>
              </w:rPr>
              <w:instrText xml:space="preserve"> PAGEREF _Toc42609812 \h </w:instrText>
            </w:r>
            <w:r w:rsidR="00C66EA9">
              <w:rPr>
                <w:noProof/>
                <w:webHidden/>
              </w:rPr>
            </w:r>
            <w:r w:rsidR="00C66EA9">
              <w:rPr>
                <w:noProof/>
                <w:webHidden/>
              </w:rPr>
              <w:fldChar w:fldCharType="separate"/>
            </w:r>
            <w:r w:rsidR="00C66EA9">
              <w:rPr>
                <w:noProof/>
                <w:webHidden/>
              </w:rPr>
              <w:t>9</w:t>
            </w:r>
            <w:r w:rsidR="00C66EA9">
              <w:rPr>
                <w:noProof/>
                <w:webHidden/>
              </w:rPr>
              <w:fldChar w:fldCharType="end"/>
            </w:r>
          </w:hyperlink>
        </w:p>
        <w:p w:rsidR="00C66EA9" w:rsidRDefault="00CE6C6C">
          <w:pPr>
            <w:pStyle w:val="Sommario2"/>
            <w:tabs>
              <w:tab w:val="left" w:pos="660"/>
              <w:tab w:val="right" w:leader="dot" w:pos="9628"/>
            </w:tabs>
            <w:rPr>
              <w:rFonts w:eastAsiaTheme="minorEastAsia"/>
              <w:noProof/>
              <w:lang w:eastAsia="it-IT"/>
            </w:rPr>
          </w:pPr>
          <w:hyperlink w:anchor="_Toc42609813" w:history="1">
            <w:r w:rsidR="00C66EA9" w:rsidRPr="00CC0106">
              <w:rPr>
                <w:rStyle w:val="Collegamentoipertestuale"/>
                <w:rFonts w:ascii="Wingdings" w:hAnsi="Wingdings"/>
                <w:bCs/>
                <w:noProof/>
              </w:rPr>
              <w:t></w:t>
            </w:r>
            <w:r w:rsidR="00C66EA9">
              <w:rPr>
                <w:rFonts w:eastAsiaTheme="minorEastAsia"/>
                <w:noProof/>
                <w:lang w:eastAsia="it-IT"/>
              </w:rPr>
              <w:tab/>
            </w:r>
            <w:r w:rsidR="00C66EA9" w:rsidRPr="00CC0106">
              <w:rPr>
                <w:rStyle w:val="Collegamentoipertestuale"/>
                <w:b/>
                <w:bCs/>
                <w:noProof/>
              </w:rPr>
              <w:t>L’accesso alla terra</w:t>
            </w:r>
            <w:r w:rsidR="00C66EA9">
              <w:rPr>
                <w:noProof/>
                <w:webHidden/>
              </w:rPr>
              <w:tab/>
            </w:r>
            <w:r w:rsidR="00C66EA9">
              <w:rPr>
                <w:noProof/>
                <w:webHidden/>
              </w:rPr>
              <w:fldChar w:fldCharType="begin"/>
            </w:r>
            <w:r w:rsidR="00C66EA9">
              <w:rPr>
                <w:noProof/>
                <w:webHidden/>
              </w:rPr>
              <w:instrText xml:space="preserve"> PAGEREF _Toc42609813 \h </w:instrText>
            </w:r>
            <w:r w:rsidR="00C66EA9">
              <w:rPr>
                <w:noProof/>
                <w:webHidden/>
              </w:rPr>
            </w:r>
            <w:r w:rsidR="00C66EA9">
              <w:rPr>
                <w:noProof/>
                <w:webHidden/>
              </w:rPr>
              <w:fldChar w:fldCharType="separate"/>
            </w:r>
            <w:r w:rsidR="00C66EA9">
              <w:rPr>
                <w:noProof/>
                <w:webHidden/>
              </w:rPr>
              <w:t>11</w:t>
            </w:r>
            <w:r w:rsidR="00C66EA9">
              <w:rPr>
                <w:noProof/>
                <w:webHidden/>
              </w:rPr>
              <w:fldChar w:fldCharType="end"/>
            </w:r>
          </w:hyperlink>
        </w:p>
        <w:p w:rsidR="00C66EA9" w:rsidRDefault="00CE6C6C">
          <w:pPr>
            <w:pStyle w:val="Sommario2"/>
            <w:tabs>
              <w:tab w:val="left" w:pos="660"/>
              <w:tab w:val="right" w:leader="dot" w:pos="9628"/>
            </w:tabs>
            <w:rPr>
              <w:rFonts w:eastAsiaTheme="minorEastAsia"/>
              <w:noProof/>
              <w:lang w:eastAsia="it-IT"/>
            </w:rPr>
          </w:pPr>
          <w:hyperlink w:anchor="_Toc42609814" w:history="1">
            <w:r w:rsidR="00C66EA9" w:rsidRPr="00CC0106">
              <w:rPr>
                <w:rStyle w:val="Collegamentoipertestuale"/>
                <w:rFonts w:ascii="Wingdings" w:hAnsi="Wingdings"/>
                <w:bCs/>
                <w:noProof/>
              </w:rPr>
              <w:t></w:t>
            </w:r>
            <w:r w:rsidR="00C66EA9">
              <w:rPr>
                <w:rFonts w:eastAsiaTheme="minorEastAsia"/>
                <w:noProof/>
                <w:lang w:eastAsia="it-IT"/>
              </w:rPr>
              <w:tab/>
            </w:r>
            <w:r w:rsidR="00C66EA9" w:rsidRPr="00CC0106">
              <w:rPr>
                <w:rStyle w:val="Collegamentoipertestuale"/>
                <w:b/>
                <w:bCs/>
                <w:noProof/>
              </w:rPr>
              <w:t>Le semplificazioni amministrative</w:t>
            </w:r>
            <w:r w:rsidR="00C66EA9">
              <w:rPr>
                <w:noProof/>
                <w:webHidden/>
              </w:rPr>
              <w:tab/>
            </w:r>
            <w:r w:rsidR="00C66EA9">
              <w:rPr>
                <w:noProof/>
                <w:webHidden/>
              </w:rPr>
              <w:fldChar w:fldCharType="begin"/>
            </w:r>
            <w:r w:rsidR="00C66EA9">
              <w:rPr>
                <w:noProof/>
                <w:webHidden/>
              </w:rPr>
              <w:instrText xml:space="preserve"> PAGEREF _Toc42609814 \h </w:instrText>
            </w:r>
            <w:r w:rsidR="00C66EA9">
              <w:rPr>
                <w:noProof/>
                <w:webHidden/>
              </w:rPr>
            </w:r>
            <w:r w:rsidR="00C66EA9">
              <w:rPr>
                <w:noProof/>
                <w:webHidden/>
              </w:rPr>
              <w:fldChar w:fldCharType="separate"/>
            </w:r>
            <w:r w:rsidR="00C66EA9">
              <w:rPr>
                <w:noProof/>
                <w:webHidden/>
              </w:rPr>
              <w:t>11</w:t>
            </w:r>
            <w:r w:rsidR="00C66EA9">
              <w:rPr>
                <w:noProof/>
                <w:webHidden/>
              </w:rPr>
              <w:fldChar w:fldCharType="end"/>
            </w:r>
          </w:hyperlink>
        </w:p>
        <w:p w:rsidR="000E5787" w:rsidRDefault="000E5787">
          <w:r>
            <w:rPr>
              <w:b/>
              <w:bCs/>
            </w:rPr>
            <w:fldChar w:fldCharType="end"/>
          </w:r>
        </w:p>
      </w:sdtContent>
    </w:sdt>
    <w:p w:rsidR="000E5787" w:rsidRDefault="000E5787" w:rsidP="002E0B86">
      <w:pPr>
        <w:jc w:val="both"/>
        <w:rPr>
          <w:rFonts w:ascii="Bookman Old Style" w:eastAsia="Bookman Old Style" w:hAnsi="Bookman Old Style" w:cs="Bookman Old Style"/>
          <w:b/>
          <w:bCs/>
          <w:sz w:val="24"/>
          <w:szCs w:val="24"/>
        </w:rPr>
      </w:pPr>
    </w:p>
    <w:p w:rsidR="000E5787" w:rsidRDefault="000E5787" w:rsidP="002E0B86">
      <w:pPr>
        <w:jc w:val="both"/>
        <w:rPr>
          <w:rFonts w:ascii="Bookman Old Style" w:eastAsia="Bookman Old Style" w:hAnsi="Bookman Old Style" w:cs="Bookman Old Style"/>
          <w:b/>
          <w:bCs/>
          <w:sz w:val="24"/>
          <w:szCs w:val="24"/>
        </w:rPr>
      </w:pPr>
    </w:p>
    <w:p w:rsidR="00C66EA9" w:rsidRDefault="00C66EA9" w:rsidP="002E0B86">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br w:type="page"/>
      </w:r>
    </w:p>
    <w:p w:rsidR="000E5787" w:rsidRPr="002E0B86" w:rsidRDefault="000E5787" w:rsidP="002E0B86">
      <w:pPr>
        <w:jc w:val="both"/>
        <w:rPr>
          <w:rFonts w:ascii="Bookman Old Style" w:eastAsia="Bookman Old Style" w:hAnsi="Bookman Old Style" w:cs="Bookman Old Style"/>
          <w:b/>
          <w:bCs/>
          <w:sz w:val="24"/>
          <w:szCs w:val="24"/>
        </w:rPr>
      </w:pPr>
    </w:p>
    <w:p w:rsidR="000E5787" w:rsidRPr="0061446D" w:rsidRDefault="000E5787" w:rsidP="000E5787">
      <w:pPr>
        <w:pStyle w:val="Titolo1"/>
        <w:rPr>
          <w:rFonts w:eastAsia="Bookman Old Style"/>
        </w:rPr>
      </w:pPr>
      <w:bookmarkStart w:id="0" w:name="_Toc42609808"/>
      <w:r>
        <w:rPr>
          <w:rFonts w:eastAsia="Bookman Old Style"/>
        </w:rPr>
        <w:t>Premessa</w:t>
      </w:r>
      <w:bookmarkEnd w:id="0"/>
    </w:p>
    <w:p w:rsidR="00664ADB" w:rsidRPr="002E0B86" w:rsidRDefault="00664ADB" w:rsidP="002E0B86">
      <w:pPr>
        <w:jc w:val="both"/>
        <w:rPr>
          <w:rFonts w:ascii="Bookman Old Style" w:eastAsia="Bookman Old Style" w:hAnsi="Bookman Old Style" w:cs="Bookman Old Style"/>
          <w:bCs/>
        </w:rPr>
      </w:pPr>
      <w:r w:rsidRPr="002E0B86">
        <w:rPr>
          <w:rFonts w:ascii="Bookman Old Style" w:eastAsia="Bookman Old Style" w:hAnsi="Bookman Old Style" w:cs="Bookman Old Style"/>
          <w:bCs/>
        </w:rPr>
        <w:t xml:space="preserve">Il momento storico che stiamo vivendo sta segnando e segnerà profondamente il nostro Paese, una dieresi netta dal passato in cui la nostra società dovrà trovare un nuovo punto di equilibrio. Questa dinamica di cambiamento, in cui i fenomeni globali generano conseguenze immediate a livello locale, ha investito direttamente le comunità e gli </w:t>
      </w:r>
      <w:r w:rsidR="00033714">
        <w:rPr>
          <w:rFonts w:ascii="Bookman Old Style" w:eastAsia="Bookman Old Style" w:hAnsi="Bookman Old Style" w:cs="Bookman Old Style"/>
          <w:bCs/>
        </w:rPr>
        <w:t>e</w:t>
      </w:r>
      <w:r w:rsidRPr="002E0B86">
        <w:rPr>
          <w:rFonts w:ascii="Bookman Old Style" w:eastAsia="Bookman Old Style" w:hAnsi="Bookman Old Style" w:cs="Bookman Old Style"/>
          <w:bCs/>
        </w:rPr>
        <w:t xml:space="preserve">nti </w:t>
      </w:r>
      <w:r w:rsidR="00033714">
        <w:rPr>
          <w:rFonts w:ascii="Bookman Old Style" w:eastAsia="Bookman Old Style" w:hAnsi="Bookman Old Style" w:cs="Bookman Old Style"/>
          <w:bCs/>
        </w:rPr>
        <w:t xml:space="preserve">locali </w:t>
      </w:r>
      <w:r w:rsidRPr="002E0B86">
        <w:rPr>
          <w:rFonts w:ascii="Bookman Old Style" w:eastAsia="Bookman Old Style" w:hAnsi="Bookman Old Style" w:cs="Bookman Old Style"/>
          <w:bCs/>
        </w:rPr>
        <w:t>che le rappresentano, attribuendo a questi ultimi maggiori e diverse responsabilità, nonché nuove domande e bisogni a cui rispondere.</w:t>
      </w:r>
    </w:p>
    <w:p w:rsidR="00664ADB" w:rsidRPr="002E0B86" w:rsidRDefault="00664ADB" w:rsidP="002E0B86">
      <w:pPr>
        <w:jc w:val="both"/>
        <w:rPr>
          <w:rFonts w:ascii="Bookman Old Style" w:eastAsia="Bookman Old Style" w:hAnsi="Bookman Old Style" w:cs="Bookman Old Style"/>
          <w:bCs/>
        </w:rPr>
      </w:pPr>
      <w:r w:rsidRPr="002E0B86">
        <w:rPr>
          <w:rFonts w:ascii="Bookman Old Style" w:eastAsia="Bookman Old Style" w:hAnsi="Bookman Old Style" w:cs="Bookman Old Style"/>
          <w:bCs/>
        </w:rPr>
        <w:t xml:space="preserve">Gli enti locali rappresentano, anche questa volta, il livello di governo più vicino ai cittadini per gestire “in prima linea” i cambiamenti generati da questa pandemia. L’esempio della distribuzione dei buoni spesa rappresenta alla perfezione la capacità di raccogliere e rispondere nell’immediato ai bisogni posti dal nuovo perimetro del bisogno sociale, e conferma l’adeguatezza di questo livello di governo tanto nella capacità di comprendere le dinamiche in atto quanto nel fornire strumenti concreti a servizio del territorio. Infatti, risulta evidente come i Comuni, più di altri enti, riescano ad esprimere una capacità di spesa più veloce e circostanziata alle necessità, in quanto detentori di un patrimonio di conoscenza diretta stratificata nel tempo. </w:t>
      </w:r>
    </w:p>
    <w:p w:rsidR="00664ADB" w:rsidRPr="002E0B86" w:rsidRDefault="00664ADB" w:rsidP="002E0B86">
      <w:pPr>
        <w:jc w:val="both"/>
        <w:rPr>
          <w:rFonts w:ascii="Bookman Old Style" w:eastAsia="Bookman Old Style" w:hAnsi="Bookman Old Style" w:cs="Bookman Old Style"/>
          <w:bCs/>
        </w:rPr>
      </w:pPr>
      <w:r w:rsidRPr="002E0B86">
        <w:rPr>
          <w:rFonts w:ascii="Bookman Old Style" w:eastAsia="Bookman Old Style" w:hAnsi="Bookman Old Style" w:cs="Bookman Old Style"/>
          <w:bCs/>
        </w:rPr>
        <w:t>Per supportare al meglio questo ruolo, appare necessario un ripensamento strutturale del modello di gestione e sviluppo locale: i Comuni, come è stato evidente in questa fase emergenziale, sono sicuramente i collettori di esigenze diverse e nuovi bisogni, ma sono anche in grado di essere i principali soggetti attuatori di una nuova visione nazionale ed europea. La capacità di essere il soggetto prioritariamente riconosciuto dai cittadini rappresenta un notevole valore aggiunto e dal quale si deve ripartire: sarà necessario, pertanto, puntare e valorizzare il ruolo strategico che le città possono e devono giocare nella definizione dei nuovi bisogni sociali, nel rilancio economico dei sistemi produttivi locali e nella ripartenza complessiva del Sistema Paese.</w:t>
      </w:r>
    </w:p>
    <w:p w:rsidR="00827373" w:rsidRDefault="00827373" w:rsidP="002E0B86">
      <w:pPr>
        <w:jc w:val="both"/>
        <w:rPr>
          <w:rFonts w:ascii="Bookman Old Style" w:eastAsia="Bookman Old Style" w:hAnsi="Bookman Old Style" w:cs="Bookman Old Style"/>
          <w:bCs/>
        </w:rPr>
      </w:pPr>
    </w:p>
    <w:p w:rsidR="00827373" w:rsidRPr="000E5787" w:rsidRDefault="00F43DE9" w:rsidP="000E5787">
      <w:pPr>
        <w:pStyle w:val="Titolo1"/>
        <w:rPr>
          <w:rFonts w:eastAsia="Bookman Old Style"/>
        </w:rPr>
      </w:pPr>
      <w:bookmarkStart w:id="1" w:name="_Toc42609809"/>
      <w:r w:rsidRPr="000E5787">
        <w:rPr>
          <w:rFonts w:eastAsia="Bookman Old Style"/>
        </w:rPr>
        <w:t>Le ripercussioni della crisi sulle attività produttive</w:t>
      </w:r>
      <w:bookmarkEnd w:id="1"/>
      <w:r w:rsidRPr="000E5787">
        <w:rPr>
          <w:rFonts w:eastAsia="Bookman Old Style"/>
        </w:rPr>
        <w:t xml:space="preserve"> </w:t>
      </w:r>
    </w:p>
    <w:p w:rsidR="00382BDF" w:rsidRPr="002E0B86" w:rsidRDefault="00664ADB" w:rsidP="002E0B86">
      <w:pPr>
        <w:jc w:val="both"/>
        <w:rPr>
          <w:rFonts w:ascii="Bookman Old Style" w:eastAsia="Bookman Old Style" w:hAnsi="Bookman Old Style" w:cs="Bookman Old Style"/>
          <w:bCs/>
        </w:rPr>
      </w:pPr>
      <w:r w:rsidRPr="002E0B86">
        <w:rPr>
          <w:rFonts w:ascii="Bookman Old Style" w:eastAsia="Bookman Old Style" w:hAnsi="Bookman Old Style" w:cs="Bookman Old Style"/>
          <w:bCs/>
        </w:rPr>
        <w:t xml:space="preserve">Le misure restrittive adottate da marzo 2020 hanno generato enormi ripercussioni socio-economiche, generando una crisi i cui contorni iniziano ormai a delinearsi con cruda chiarezza: </w:t>
      </w:r>
      <w:r w:rsidR="004C4223">
        <w:rPr>
          <w:rFonts w:ascii="Bookman Old Style" w:eastAsia="Bookman Old Style" w:hAnsi="Bookman Old Style" w:cs="Bookman Old Style"/>
          <w:bCs/>
        </w:rPr>
        <w:t>come noto, il calo del PIL per il 2020 è stimato dal Fondo Monetario Internazionale in -</w:t>
      </w:r>
      <w:r w:rsidR="005500B3">
        <w:rPr>
          <w:rFonts w:ascii="Bookman Old Style" w:eastAsia="Bookman Old Style" w:hAnsi="Bookman Old Style" w:cs="Bookman Old Style"/>
          <w:bCs/>
        </w:rPr>
        <w:t xml:space="preserve">9,1%, </w:t>
      </w:r>
      <w:r w:rsidR="00033714">
        <w:rPr>
          <w:rFonts w:ascii="Bookman Old Style" w:eastAsia="Bookman Old Style" w:hAnsi="Bookman Old Style" w:cs="Bookman Old Style"/>
          <w:bCs/>
        </w:rPr>
        <w:t>dato rivisto recentemente dall’ISTAT che stima un – 8,3%</w:t>
      </w:r>
      <w:r w:rsidR="004C4223">
        <w:rPr>
          <w:rFonts w:ascii="Bookman Old Style" w:eastAsia="Bookman Old Style" w:hAnsi="Bookman Old Style" w:cs="Bookman Old Style"/>
          <w:bCs/>
        </w:rPr>
        <w:t xml:space="preserve">. </w:t>
      </w:r>
    </w:p>
    <w:p w:rsidR="00F65FEA" w:rsidRDefault="00382BDF" w:rsidP="002E0B86">
      <w:pPr>
        <w:jc w:val="both"/>
        <w:rPr>
          <w:rFonts w:ascii="Bookman Old Style" w:eastAsia="Bookman Old Style" w:hAnsi="Bookman Old Style" w:cs="Bookman Old Style"/>
          <w:bCs/>
        </w:rPr>
      </w:pPr>
      <w:r w:rsidRPr="002E0B86">
        <w:rPr>
          <w:rFonts w:ascii="Bookman Old Style" w:eastAsia="Bookman Old Style" w:hAnsi="Bookman Old Style" w:cs="Bookman Old Style"/>
          <w:bCs/>
        </w:rPr>
        <w:t>Guardando ai settori di diretto interesse di questa Commissione, dati Unioncamere stimano, in maniera prudenziale, oltre 400.000 occupati</w:t>
      </w:r>
      <w:r w:rsidR="00F65FEA" w:rsidRPr="002E0B86">
        <w:rPr>
          <w:rFonts w:ascii="Bookman Old Style" w:eastAsia="Bookman Old Style" w:hAnsi="Bookman Old Style" w:cs="Bookman Old Style"/>
          <w:bCs/>
        </w:rPr>
        <w:t xml:space="preserve"> in meno nell’</w:t>
      </w:r>
      <w:r w:rsidRPr="002E0B86">
        <w:rPr>
          <w:rFonts w:ascii="Bookman Old Style" w:eastAsia="Bookman Old Style" w:hAnsi="Bookman Old Style" w:cs="Bookman Old Style"/>
          <w:bCs/>
        </w:rPr>
        <w:t xml:space="preserve">industria e </w:t>
      </w:r>
      <w:r w:rsidR="00F65FEA" w:rsidRPr="002E0B86">
        <w:rPr>
          <w:rFonts w:ascii="Bookman Old Style" w:eastAsia="Bookman Old Style" w:hAnsi="Bookman Old Style" w:cs="Bookman Old Style"/>
          <w:bCs/>
        </w:rPr>
        <w:t xml:space="preserve">nei </w:t>
      </w:r>
      <w:r w:rsidRPr="002E0B86">
        <w:rPr>
          <w:rFonts w:ascii="Bookman Old Style" w:eastAsia="Bookman Old Style" w:hAnsi="Bookman Old Style" w:cs="Bookman Old Style"/>
          <w:bCs/>
        </w:rPr>
        <w:t xml:space="preserve">servizi, con un’incidenza maggiore di questo secondo comparto. </w:t>
      </w:r>
      <w:r w:rsidRPr="009E6EEB">
        <w:rPr>
          <w:rFonts w:ascii="Bookman Old Style" w:eastAsia="Bookman Old Style" w:hAnsi="Bookman Old Style" w:cs="Bookman Old Style"/>
          <w:b/>
          <w:bCs/>
        </w:rPr>
        <w:t xml:space="preserve">Il turismo risulta essere </w:t>
      </w:r>
      <w:r w:rsidR="00F65FEA" w:rsidRPr="009E6EEB">
        <w:rPr>
          <w:rFonts w:ascii="Bookman Old Style" w:eastAsia="Bookman Old Style" w:hAnsi="Bookman Old Style" w:cs="Bookman Old Style"/>
          <w:b/>
          <w:bCs/>
        </w:rPr>
        <w:t>il settore che soffre la crisi più profonda</w:t>
      </w:r>
      <w:r w:rsidR="00F65FEA" w:rsidRPr="002E0B86">
        <w:rPr>
          <w:rFonts w:ascii="Bookman Old Style" w:eastAsia="Bookman Old Style" w:hAnsi="Bookman Old Style" w:cs="Bookman Old Style"/>
          <w:bCs/>
        </w:rPr>
        <w:t>, con un calo degli occ</w:t>
      </w:r>
      <w:r w:rsidR="005500B3">
        <w:rPr>
          <w:rFonts w:ascii="Bookman Old Style" w:eastAsia="Bookman Old Style" w:hAnsi="Bookman Old Style" w:cs="Bookman Old Style"/>
          <w:bCs/>
        </w:rPr>
        <w:t>upati</w:t>
      </w:r>
      <w:r w:rsidR="00F65FEA" w:rsidRPr="002E0B86">
        <w:rPr>
          <w:rFonts w:ascii="Bookman Old Style" w:eastAsia="Bookman Old Style" w:hAnsi="Bookman Old Style" w:cs="Bookman Old Style"/>
          <w:bCs/>
        </w:rPr>
        <w:t xml:space="preserve"> rispetto allo scorso anno stimato in 220.000 unità. Guardando al </w:t>
      </w:r>
      <w:r w:rsidR="00F65FEA" w:rsidRPr="009E6EEB">
        <w:rPr>
          <w:rFonts w:ascii="Bookman Old Style" w:eastAsia="Bookman Old Style" w:hAnsi="Bookman Old Style" w:cs="Bookman Old Style"/>
          <w:b/>
          <w:bCs/>
        </w:rPr>
        <w:t xml:space="preserve">commercio – settore che, </w:t>
      </w:r>
      <w:r w:rsidR="005500B3" w:rsidRPr="009E6EEB">
        <w:rPr>
          <w:rFonts w:ascii="Bookman Old Style" w:eastAsia="Bookman Old Style" w:hAnsi="Bookman Old Style" w:cs="Bookman Old Style"/>
          <w:b/>
          <w:bCs/>
        </w:rPr>
        <w:t>visto</w:t>
      </w:r>
      <w:r w:rsidR="00F65FEA" w:rsidRPr="009E6EEB">
        <w:rPr>
          <w:rFonts w:ascii="Bookman Old Style" w:eastAsia="Bookman Old Style" w:hAnsi="Bookman Old Style" w:cs="Bookman Old Style"/>
          <w:b/>
          <w:bCs/>
        </w:rPr>
        <w:t xml:space="preserve"> dall’ottica comunale, ha una rilevanza non solo economica ma strettamente connessa alla dimensione sociale ed urbanistica delle città</w:t>
      </w:r>
      <w:r w:rsidR="00F65FEA" w:rsidRPr="002E0B86">
        <w:rPr>
          <w:rFonts w:ascii="Bookman Old Style" w:eastAsia="Bookman Old Style" w:hAnsi="Bookman Old Style" w:cs="Bookman Old Style"/>
          <w:bCs/>
        </w:rPr>
        <w:t xml:space="preserve"> – l’ISTAT stima che, nel solo mese di aprile 2020, la diminuzione delle vendite al dettaglio è stata del 26,3% in valore e del 28,1% in volume. Dati che, se depurati dalle vendite dei beni alimentari, mostrano </w:t>
      </w:r>
      <w:r w:rsidR="002E0B86" w:rsidRPr="002E0B86">
        <w:rPr>
          <w:rFonts w:ascii="Bookman Old Style" w:eastAsia="Bookman Old Style" w:hAnsi="Bookman Old Style" w:cs="Bookman Old Style"/>
          <w:bCs/>
        </w:rPr>
        <w:t>un quadro ancora più impressionante: il calo delle vendite dei beni non alimentari è pari al 62,2% nella grande distribuzione e al 51,5% nelle imprese operanti su piccole superfici.</w:t>
      </w:r>
    </w:p>
    <w:p w:rsidR="002E0B86" w:rsidRDefault="002E0B86" w:rsidP="002E0B86">
      <w:pPr>
        <w:jc w:val="both"/>
        <w:rPr>
          <w:rFonts w:ascii="Bookman Old Style" w:eastAsia="Bookman Old Style" w:hAnsi="Bookman Old Style" w:cs="Bookman Old Style"/>
          <w:bCs/>
        </w:rPr>
      </w:pPr>
      <w:r>
        <w:rPr>
          <w:rFonts w:ascii="Bookman Old Style" w:eastAsia="Bookman Old Style" w:hAnsi="Bookman Old Style" w:cs="Bookman Old Style"/>
          <w:bCs/>
        </w:rPr>
        <w:lastRenderedPageBreak/>
        <w:t xml:space="preserve">Ne consegue </w:t>
      </w:r>
      <w:r w:rsidR="004C4223">
        <w:rPr>
          <w:rFonts w:ascii="Bookman Old Style" w:eastAsia="Bookman Old Style" w:hAnsi="Bookman Old Style" w:cs="Bookman Old Style"/>
          <w:bCs/>
        </w:rPr>
        <w:t xml:space="preserve">un elevato rischio di chiusura per quasi 270 mila imprese del commercio al dettaglio non alimentare, dell’ingrosso e dei servizi, pari a circa il 10% del totale (dati Confcommercio). Fra i settori più colpiti: </w:t>
      </w:r>
      <w:r w:rsidR="004C4223" w:rsidRPr="004C4223">
        <w:rPr>
          <w:rFonts w:ascii="Bookman Old Style" w:eastAsia="Bookman Old Style" w:hAnsi="Bookman Old Style" w:cs="Bookman Old Style"/>
          <w:bCs/>
        </w:rPr>
        <w:t>il commercio su aree pubbliche, i negozi di abbigliamento, gli alberghi, i bar</w:t>
      </w:r>
      <w:r w:rsidR="004C4223">
        <w:rPr>
          <w:rFonts w:ascii="Bookman Old Style" w:eastAsia="Bookman Old Style" w:hAnsi="Bookman Old Style" w:cs="Bookman Old Style"/>
          <w:bCs/>
        </w:rPr>
        <w:t xml:space="preserve">, </w:t>
      </w:r>
      <w:r w:rsidR="004C4223" w:rsidRPr="004C4223">
        <w:rPr>
          <w:rFonts w:ascii="Bookman Old Style" w:eastAsia="Bookman Old Style" w:hAnsi="Bookman Old Style" w:cs="Bookman Old Style"/>
          <w:bCs/>
        </w:rPr>
        <w:t>i ristoranti e le imprese legate alle attività di intrattenimento e alla cura della persona</w:t>
      </w:r>
      <w:r w:rsidR="004C4223">
        <w:rPr>
          <w:rFonts w:ascii="Bookman Old Style" w:eastAsia="Bookman Old Style" w:hAnsi="Bookman Old Style" w:cs="Bookman Old Style"/>
          <w:bCs/>
        </w:rPr>
        <w:t>.</w:t>
      </w:r>
    </w:p>
    <w:p w:rsidR="003C01D6" w:rsidRPr="003C01D6" w:rsidRDefault="003C01D6" w:rsidP="003C01D6">
      <w:pPr>
        <w:jc w:val="both"/>
        <w:rPr>
          <w:rFonts w:ascii="Bookman Old Style" w:eastAsia="Bookman Old Style" w:hAnsi="Bookman Old Style" w:cs="Bookman Old Style"/>
          <w:bCs/>
        </w:rPr>
      </w:pPr>
      <w:r>
        <w:rPr>
          <w:rFonts w:ascii="Bookman Old Style" w:eastAsia="Bookman Old Style" w:hAnsi="Bookman Old Style" w:cs="Bookman Old Style"/>
          <w:bCs/>
        </w:rPr>
        <w:t xml:space="preserve">Il turismo, in particolare, </w:t>
      </w:r>
      <w:r w:rsidRPr="003C01D6">
        <w:rPr>
          <w:rFonts w:ascii="Bookman Old Style" w:eastAsia="Bookman Old Style" w:hAnsi="Bookman Old Style" w:cs="Bookman Old Style"/>
          <w:bCs/>
        </w:rPr>
        <w:t>è un comparto che ha un’incidenza molto importante sul PIL nazionale (13,2% in termini diretti ed indiretti), ed è il settore che più di ogni altro sta soffrendo l’impatto della pandemia. Il Covid-19 ha provocato un azzeramento della domanda nel brevissimo periodo, l’imminente stagione estiva è a forte rischio e anche sul medio periodo la situazione appare molto critica. Anche immaginando una risoluzione relativamente rapida dell'emergenza sanitaria, l’effetto della pandemia sul mercato turistico nazionale e internazionale, e sulla fiducia dei viaggiatori, porterà inevitabilmente ad una riduzione drastica del numero di presenze sia sul breve che sul medio-lungo periodo, con le prevedibili conseguenze sul piano economico, occupazionale e sociale.</w:t>
      </w:r>
    </w:p>
    <w:p w:rsidR="003C01D6" w:rsidRDefault="003C01D6" w:rsidP="002E0B86">
      <w:pPr>
        <w:jc w:val="both"/>
        <w:rPr>
          <w:rFonts w:ascii="Bookman Old Style" w:eastAsia="Bookman Old Style" w:hAnsi="Bookman Old Style" w:cs="Bookman Old Style"/>
          <w:bCs/>
        </w:rPr>
      </w:pPr>
      <w:r w:rsidRPr="009E6EEB">
        <w:rPr>
          <w:rFonts w:ascii="Bookman Old Style" w:eastAsia="Bookman Old Style" w:hAnsi="Bookman Old Style" w:cs="Bookman Old Style"/>
          <w:b/>
          <w:bCs/>
        </w:rPr>
        <w:t>Il turismo rappresenta</w:t>
      </w:r>
      <w:r w:rsidRPr="003C01D6">
        <w:rPr>
          <w:rFonts w:ascii="Bookman Old Style" w:eastAsia="Bookman Old Style" w:hAnsi="Bookman Old Style" w:cs="Bookman Old Style"/>
          <w:bCs/>
        </w:rPr>
        <w:t xml:space="preserve">, inoltre, </w:t>
      </w:r>
      <w:r w:rsidRPr="009E6EEB">
        <w:rPr>
          <w:rFonts w:ascii="Bookman Old Style" w:eastAsia="Bookman Old Style" w:hAnsi="Bookman Old Style" w:cs="Bookman Old Style"/>
          <w:b/>
          <w:bCs/>
        </w:rPr>
        <w:t>un risorsa importante per la salvaguardia e il rilancio del nostro patrimonio artistico e ambientale</w:t>
      </w:r>
      <w:r w:rsidRPr="003C01D6">
        <w:rPr>
          <w:rFonts w:ascii="Bookman Old Style" w:eastAsia="Bookman Old Style" w:hAnsi="Bookman Old Style" w:cs="Bookman Old Style"/>
          <w:bCs/>
        </w:rPr>
        <w:t xml:space="preserve">: la stessa sostenibilità di tante imprese culturali si basa sulla presenza dei turisti. </w:t>
      </w:r>
    </w:p>
    <w:p w:rsidR="00827373" w:rsidRDefault="00827373" w:rsidP="002E0B86">
      <w:pPr>
        <w:jc w:val="both"/>
        <w:rPr>
          <w:rFonts w:ascii="Bookman Old Style" w:eastAsia="Bookman Old Style" w:hAnsi="Bookman Old Style" w:cs="Bookman Old Style"/>
          <w:bCs/>
        </w:rPr>
      </w:pPr>
    </w:p>
    <w:p w:rsidR="00827373" w:rsidRPr="000E5787" w:rsidRDefault="00827373" w:rsidP="000E5787">
      <w:pPr>
        <w:pStyle w:val="Titolo1"/>
        <w:rPr>
          <w:rFonts w:eastAsia="Bookman Old Style"/>
        </w:rPr>
      </w:pPr>
      <w:bookmarkStart w:id="2" w:name="_Toc42609810"/>
      <w:r w:rsidRPr="000E5787">
        <w:rPr>
          <w:rFonts w:eastAsia="Bookman Old Style"/>
        </w:rPr>
        <w:t>Le ripercussioni della crisi sui Comuni e le necessità d’intervento</w:t>
      </w:r>
      <w:bookmarkEnd w:id="2"/>
    </w:p>
    <w:p w:rsidR="00827373" w:rsidRDefault="00A70FCF" w:rsidP="00AE1BF4">
      <w:pPr>
        <w:jc w:val="both"/>
        <w:rPr>
          <w:rFonts w:ascii="Bookman Old Style" w:eastAsia="Bookman Old Style" w:hAnsi="Bookman Old Style" w:cs="Bookman Old Style"/>
          <w:bCs/>
        </w:rPr>
      </w:pPr>
      <w:r>
        <w:rPr>
          <w:rFonts w:ascii="Bookman Old Style" w:eastAsia="Bookman Old Style" w:hAnsi="Bookman Old Style" w:cs="Bookman Old Style"/>
          <w:bCs/>
        </w:rPr>
        <w:t xml:space="preserve">Il contesto delineato da questi dati ha una diretta ripercussione sui Comuni e sui loro bilanci, e conseguentemente sulla capacità degli enti di mantenere un adeguato livello di offerta di servizi, non da ultimo quelli più strettamente connessi al supporto alle attività produttive: </w:t>
      </w:r>
      <w:r w:rsidR="00827373" w:rsidRPr="00F43DE9">
        <w:rPr>
          <w:rFonts w:ascii="Bookman Old Style" w:eastAsia="Bookman Old Style" w:hAnsi="Bookman Old Style" w:cs="Bookman Old Style"/>
          <w:b/>
          <w:bCs/>
        </w:rPr>
        <w:t>intervenire per garantire un adeguato ristoro agli enti locali rispetto ai mancati introiti fin qui registrati significa</w:t>
      </w:r>
      <w:r w:rsidR="00F43DE9" w:rsidRPr="00F43DE9">
        <w:rPr>
          <w:rFonts w:ascii="Bookman Old Style" w:eastAsia="Bookman Old Style" w:hAnsi="Bookman Old Style" w:cs="Bookman Old Style"/>
          <w:b/>
          <w:bCs/>
        </w:rPr>
        <w:t xml:space="preserve"> non gravare ulteriormente su</w:t>
      </w:r>
      <w:r w:rsidR="00827373" w:rsidRPr="00F43DE9">
        <w:rPr>
          <w:rFonts w:ascii="Bookman Old Style" w:eastAsia="Bookman Old Style" w:hAnsi="Bookman Old Style" w:cs="Bookman Old Style"/>
          <w:b/>
          <w:bCs/>
        </w:rPr>
        <w:t xml:space="preserve"> imprese già</w:t>
      </w:r>
      <w:r w:rsidR="00F43DE9" w:rsidRPr="00F43DE9">
        <w:rPr>
          <w:rFonts w:ascii="Bookman Old Style" w:eastAsia="Bookman Old Style" w:hAnsi="Bookman Old Style" w:cs="Bookman Old Style"/>
          <w:b/>
          <w:bCs/>
        </w:rPr>
        <w:t xml:space="preserve"> </w:t>
      </w:r>
      <w:r w:rsidR="00033714">
        <w:rPr>
          <w:rFonts w:ascii="Bookman Old Style" w:eastAsia="Bookman Old Style" w:hAnsi="Bookman Old Style" w:cs="Bookman Old Style"/>
          <w:b/>
          <w:bCs/>
        </w:rPr>
        <w:t>provate</w:t>
      </w:r>
      <w:r w:rsidR="00F43DE9" w:rsidRPr="00F43DE9">
        <w:rPr>
          <w:rFonts w:ascii="Bookman Old Style" w:eastAsia="Bookman Old Style" w:hAnsi="Bookman Old Style" w:cs="Bookman Old Style"/>
          <w:b/>
          <w:bCs/>
        </w:rPr>
        <w:t xml:space="preserve"> </w:t>
      </w:r>
      <w:r w:rsidR="00033714">
        <w:rPr>
          <w:rFonts w:ascii="Bookman Old Style" w:eastAsia="Bookman Old Style" w:hAnsi="Bookman Old Style" w:cs="Bookman Old Style"/>
          <w:b/>
          <w:bCs/>
        </w:rPr>
        <w:t xml:space="preserve">da mesi di inattività e </w:t>
      </w:r>
      <w:r w:rsidR="00F43DE9" w:rsidRPr="00F43DE9">
        <w:rPr>
          <w:rFonts w:ascii="Bookman Old Style" w:eastAsia="Bookman Old Style" w:hAnsi="Bookman Old Style" w:cs="Bookman Old Style"/>
          <w:b/>
          <w:bCs/>
        </w:rPr>
        <w:t>da dinamiche di ripresa di mercato ancora incerte</w:t>
      </w:r>
      <w:r w:rsidR="00F43DE9">
        <w:rPr>
          <w:rFonts w:ascii="Bookman Old Style" w:eastAsia="Bookman Old Style" w:hAnsi="Bookman Old Style" w:cs="Bookman Old Style"/>
          <w:bCs/>
        </w:rPr>
        <w:t>.</w:t>
      </w:r>
      <w:r w:rsidR="00827373">
        <w:rPr>
          <w:rFonts w:ascii="Bookman Old Style" w:eastAsia="Bookman Old Style" w:hAnsi="Bookman Old Style" w:cs="Bookman Old Style"/>
          <w:bCs/>
        </w:rPr>
        <w:t xml:space="preserve"> </w:t>
      </w:r>
      <w:r w:rsidR="00F43DE9">
        <w:rPr>
          <w:rFonts w:ascii="Bookman Old Style" w:eastAsia="Bookman Old Style" w:hAnsi="Bookman Old Style" w:cs="Bookman Old Style"/>
          <w:bCs/>
        </w:rPr>
        <w:t xml:space="preserve">Va garantita, in concreto, la possibilità di attivare manovre locali di supporto all’economia che si sostanzino, </w:t>
      </w:r>
      <w:r w:rsidR="00033714">
        <w:rPr>
          <w:rFonts w:ascii="Bookman Old Style" w:eastAsia="Bookman Old Style" w:hAnsi="Bookman Old Style" w:cs="Bookman Old Style"/>
          <w:bCs/>
        </w:rPr>
        <w:t>innanzitutto</w:t>
      </w:r>
      <w:r w:rsidR="00F43DE9">
        <w:rPr>
          <w:rFonts w:ascii="Bookman Old Style" w:eastAsia="Bookman Old Style" w:hAnsi="Bookman Old Style" w:cs="Bookman Old Style"/>
          <w:bCs/>
        </w:rPr>
        <w:t>, nella possibilità di agire sull’alleggerimento degli oneri a carico delle imprese, in primis quelle del commercio al dettaglio e del settore turistico.</w:t>
      </w:r>
    </w:p>
    <w:p w:rsidR="005500B3" w:rsidRDefault="00F43DE9" w:rsidP="00AE1BF4">
      <w:pPr>
        <w:jc w:val="both"/>
        <w:rPr>
          <w:rFonts w:ascii="Bookman Old Style" w:hAnsi="Bookman Old Style"/>
        </w:rPr>
      </w:pPr>
      <w:r w:rsidRPr="00F43DE9">
        <w:rPr>
          <w:rFonts w:ascii="Bookman Old Style" w:eastAsia="Bookman Old Style" w:hAnsi="Bookman Old Style" w:cs="Bookman Old Style"/>
          <w:b/>
          <w:bCs/>
        </w:rPr>
        <w:t>L</w:t>
      </w:r>
      <w:r w:rsidR="005500B3" w:rsidRPr="1D047F1D">
        <w:rPr>
          <w:rFonts w:ascii="Bookman Old Style" w:hAnsi="Bookman Old Style"/>
          <w:b/>
          <w:bCs/>
        </w:rPr>
        <w:t>a stima delle perdite di entrate proprie</w:t>
      </w:r>
      <w:r w:rsidR="005500B3" w:rsidRPr="1D047F1D">
        <w:rPr>
          <w:rFonts w:ascii="Bookman Old Style" w:hAnsi="Bookman Old Style"/>
        </w:rPr>
        <w:t xml:space="preserve"> finora monitorata da ANCI rileva aspettative di </w:t>
      </w:r>
      <w:r w:rsidR="005500B3" w:rsidRPr="1D047F1D">
        <w:rPr>
          <w:rFonts w:ascii="Bookman Old Style" w:hAnsi="Bookman Old Style"/>
          <w:b/>
          <w:bCs/>
        </w:rPr>
        <w:t>minori entrate per ben 8 mld. di euro</w:t>
      </w:r>
      <w:r w:rsidR="005500B3" w:rsidRPr="1D047F1D">
        <w:rPr>
          <w:rFonts w:ascii="Bookman Old Style" w:hAnsi="Bookman Old Style"/>
        </w:rPr>
        <w:t xml:space="preserve">. </w:t>
      </w:r>
      <w:r w:rsidR="00AE1BF4">
        <w:rPr>
          <w:rFonts w:ascii="Bookman Old Style" w:hAnsi="Bookman Old Style"/>
        </w:rPr>
        <w:t>Ne consegue che, ad oggi, le risorse stanziate dal DL 34/2020 (3,5 milioni di euro d</w:t>
      </w:r>
      <w:r w:rsidR="00033714">
        <w:rPr>
          <w:rFonts w:ascii="Bookman Old Style" w:hAnsi="Bookman Old Style"/>
        </w:rPr>
        <w:t>al</w:t>
      </w:r>
      <w:r w:rsidR="00AE1BF4">
        <w:rPr>
          <w:rFonts w:ascii="Bookman Old Style" w:hAnsi="Bookman Old Style"/>
        </w:rPr>
        <w:t xml:space="preserve"> </w:t>
      </w:r>
      <w:r w:rsidR="00C7617F" w:rsidRPr="00C7617F">
        <w:rPr>
          <w:rFonts w:ascii="Bookman Old Style" w:hAnsi="Bookman Old Style"/>
          <w:i/>
        </w:rPr>
        <w:t>Fondo per l’esercizio delle funzioni fondamentali degli enti locali</w:t>
      </w:r>
      <w:r w:rsidR="00AE1BF4">
        <w:rPr>
          <w:rFonts w:ascii="Bookman Old Style" w:hAnsi="Bookman Old Style"/>
        </w:rPr>
        <w:t xml:space="preserve"> più circa 1 </w:t>
      </w:r>
      <w:r w:rsidR="00AE1BF4" w:rsidRPr="7A7D241A">
        <w:rPr>
          <w:rFonts w:ascii="Bookman Old Style" w:hAnsi="Bookman Old Style"/>
        </w:rPr>
        <w:t>mld. per l’insieme degli enti locali</w:t>
      </w:r>
      <w:r w:rsidR="00AE1BF4">
        <w:rPr>
          <w:rFonts w:ascii="Bookman Old Style" w:hAnsi="Bookman Old Style"/>
        </w:rPr>
        <w:t xml:space="preserve"> proveniente da fondi specifici settoriali</w:t>
      </w:r>
      <w:r w:rsidR="00AE1BF4" w:rsidRPr="7A7D241A">
        <w:rPr>
          <w:rFonts w:ascii="Bookman Old Style" w:hAnsi="Bookman Old Style"/>
        </w:rPr>
        <w:t>)</w:t>
      </w:r>
      <w:r w:rsidR="00AE1BF4">
        <w:rPr>
          <w:rFonts w:ascii="Bookman Old Style" w:hAnsi="Bookman Old Style"/>
        </w:rPr>
        <w:t xml:space="preserve"> </w:t>
      </w:r>
      <w:r w:rsidR="00AE1BF4">
        <w:rPr>
          <w:rFonts w:ascii="Bookman Old Style" w:hAnsi="Bookman Old Style"/>
          <w:b/>
          <w:bCs/>
        </w:rPr>
        <w:t>colga</w:t>
      </w:r>
      <w:r w:rsidR="005500B3" w:rsidRPr="00C35B70">
        <w:rPr>
          <w:rFonts w:ascii="Bookman Old Style" w:hAnsi="Bookman Old Style"/>
          <w:b/>
          <w:bCs/>
        </w:rPr>
        <w:t>no in modo molto parziale l’intensità della crisi</w:t>
      </w:r>
      <w:r w:rsidR="005500B3">
        <w:rPr>
          <w:rFonts w:ascii="Bookman Old Style" w:hAnsi="Bookman Old Style"/>
        </w:rPr>
        <w:t xml:space="preserve"> in atto </w:t>
      </w:r>
      <w:r w:rsidR="00AE1BF4">
        <w:rPr>
          <w:rFonts w:ascii="Bookman Old Style" w:hAnsi="Bookman Old Style"/>
        </w:rPr>
        <w:t xml:space="preserve">presso i Comuni. In particolare, </w:t>
      </w:r>
      <w:r w:rsidR="005500B3" w:rsidRPr="0010331B">
        <w:rPr>
          <w:rFonts w:ascii="Bookman Old Style" w:hAnsi="Bookman Old Style"/>
          <w:b/>
          <w:bCs/>
        </w:rPr>
        <w:t>il fondo generale</w:t>
      </w:r>
      <w:r w:rsidR="005500B3">
        <w:rPr>
          <w:rFonts w:ascii="Bookman Old Style" w:hAnsi="Bookman Old Style"/>
        </w:rPr>
        <w:t xml:space="preserve"> </w:t>
      </w:r>
      <w:r w:rsidR="00AE1BF4" w:rsidRPr="00A544BD">
        <w:rPr>
          <w:rFonts w:ascii="Bookman Old Style" w:hAnsi="Bookman Old Style"/>
          <w:b/>
        </w:rPr>
        <w:t>ex art. 106</w:t>
      </w:r>
      <w:r w:rsidR="00AE1BF4">
        <w:rPr>
          <w:rFonts w:ascii="Bookman Old Style" w:hAnsi="Bookman Old Style"/>
        </w:rPr>
        <w:t xml:space="preserve"> </w:t>
      </w:r>
      <w:r w:rsidR="005500B3" w:rsidRPr="00C35B70">
        <w:rPr>
          <w:rFonts w:ascii="Bookman Old Style" w:hAnsi="Bookman Old Style"/>
          <w:b/>
          <w:bCs/>
        </w:rPr>
        <w:t>è nettamente sottodimensionato</w:t>
      </w:r>
      <w:r w:rsidR="005500B3">
        <w:rPr>
          <w:rFonts w:ascii="Bookman Old Style" w:hAnsi="Bookman Old Style"/>
        </w:rPr>
        <w:t xml:space="preserve">, non solo rispetto alle aspettative degli amministratori, ma anche in relazione </w:t>
      </w:r>
      <w:r w:rsidR="00A544BD">
        <w:rPr>
          <w:rFonts w:ascii="Bookman Old Style" w:hAnsi="Bookman Old Style"/>
        </w:rPr>
        <w:t>alla più moderata richiesta ANCI</w:t>
      </w:r>
      <w:r w:rsidR="005500B3">
        <w:rPr>
          <w:rFonts w:ascii="Bookman Old Style" w:hAnsi="Bookman Old Style"/>
        </w:rPr>
        <w:t xml:space="preserve"> di 5 mld. di euro. </w:t>
      </w:r>
      <w:r w:rsidR="00A544BD">
        <w:rPr>
          <w:rFonts w:ascii="Bookman Old Style" w:hAnsi="Bookman Old Style"/>
          <w:b/>
          <w:bCs/>
        </w:rPr>
        <w:t>La richiesta dell’ANCI</w:t>
      </w:r>
      <w:r w:rsidR="005500B3" w:rsidRPr="00A97506">
        <w:rPr>
          <w:rFonts w:ascii="Bookman Old Style" w:hAnsi="Bookman Old Style"/>
          <w:b/>
          <w:bCs/>
        </w:rPr>
        <w:t xml:space="preserve"> è di un incremento del fondo di 2,5 mld,</w:t>
      </w:r>
      <w:r w:rsidR="005500B3">
        <w:rPr>
          <w:rFonts w:ascii="Bookman Old Style" w:hAnsi="Bookman Old Style"/>
        </w:rPr>
        <w:t xml:space="preserve"> da destinare per 2 mld. ai Comuni e per 500 mln. alle Città metropolitane e alle Province</w:t>
      </w:r>
      <w:r w:rsidR="00A544BD">
        <w:rPr>
          <w:rFonts w:ascii="Bookman Old Style" w:hAnsi="Bookman Old Style"/>
        </w:rPr>
        <w:t>.</w:t>
      </w:r>
    </w:p>
    <w:p w:rsidR="00A544BD" w:rsidRDefault="00A544BD" w:rsidP="00AE1BF4">
      <w:pPr>
        <w:jc w:val="both"/>
        <w:rPr>
          <w:rFonts w:ascii="Bookman Old Style" w:hAnsi="Bookman Old Style"/>
        </w:rPr>
      </w:pPr>
      <w:r>
        <w:rPr>
          <w:rFonts w:ascii="Bookman Old Style" w:hAnsi="Bookman Old Style"/>
        </w:rPr>
        <w:t>Guardando alla diminuzione delle entrate proprie dovute alla paralisi delle attività produttive, si registra questa situazione:</w:t>
      </w:r>
    </w:p>
    <w:p w:rsidR="005500B3" w:rsidRDefault="005500B3" w:rsidP="00C7617F">
      <w:pPr>
        <w:pStyle w:val="Paragrafoelenco"/>
        <w:numPr>
          <w:ilvl w:val="0"/>
          <w:numId w:val="1"/>
        </w:numPr>
        <w:spacing w:after="80" w:line="252" w:lineRule="auto"/>
        <w:ind w:left="357" w:hanging="357"/>
        <w:contextualSpacing w:val="0"/>
        <w:jc w:val="both"/>
        <w:rPr>
          <w:rFonts w:ascii="Bookman Old Style" w:hAnsi="Bookman Old Style"/>
        </w:rPr>
      </w:pPr>
      <w:r>
        <w:rPr>
          <w:rFonts w:ascii="Bookman Old Style" w:hAnsi="Bookman Old Style"/>
        </w:rPr>
        <w:t xml:space="preserve">il fondo per il ristoro della </w:t>
      </w:r>
      <w:r w:rsidRPr="00C35B70">
        <w:rPr>
          <w:rFonts w:ascii="Bookman Old Style" w:hAnsi="Bookman Old Style"/>
          <w:b/>
          <w:bCs/>
        </w:rPr>
        <w:t>riduzione IMU destinata agli alberghi</w:t>
      </w:r>
      <w:r>
        <w:rPr>
          <w:rFonts w:ascii="Bookman Old Style" w:hAnsi="Bookman Old Style"/>
        </w:rPr>
        <w:t xml:space="preserve"> e ad una grande platea di altre strutture recettive (- 50% per il 2020) appare seriamente sottostimato: </w:t>
      </w:r>
      <w:r>
        <w:rPr>
          <w:rFonts w:ascii="Bookman Old Style" w:hAnsi="Bookman Old Style"/>
        </w:rPr>
        <w:lastRenderedPageBreak/>
        <w:t xml:space="preserve">ANCI ritiene che la quota da assegnare ai Comuni coinvolti debba essere </w:t>
      </w:r>
      <w:r w:rsidRPr="00C35B70">
        <w:rPr>
          <w:rFonts w:ascii="Bookman Old Style" w:hAnsi="Bookman Old Style"/>
          <w:b/>
          <w:bCs/>
        </w:rPr>
        <w:t>almeno raddoppiata, passando da 75 mln. circa a 150 mln. di euro</w:t>
      </w:r>
      <w:r>
        <w:rPr>
          <w:rFonts w:ascii="Bookman Old Style" w:hAnsi="Bookman Old Style"/>
        </w:rPr>
        <w:t>;</w:t>
      </w:r>
    </w:p>
    <w:p w:rsidR="005500B3" w:rsidRPr="00C35B70" w:rsidRDefault="005500B3" w:rsidP="00C7617F">
      <w:pPr>
        <w:pStyle w:val="Paragrafoelenco"/>
        <w:numPr>
          <w:ilvl w:val="0"/>
          <w:numId w:val="1"/>
        </w:numPr>
        <w:spacing w:after="80" w:line="252" w:lineRule="auto"/>
        <w:ind w:left="357" w:hanging="357"/>
        <w:contextualSpacing w:val="0"/>
        <w:jc w:val="both"/>
        <w:rPr>
          <w:rFonts w:ascii="Bookman Old Style" w:hAnsi="Bookman Old Style"/>
          <w:b/>
          <w:bCs/>
        </w:rPr>
      </w:pPr>
      <w:r w:rsidRPr="00C35B70">
        <w:rPr>
          <w:rFonts w:ascii="Bookman Old Style" w:hAnsi="Bookman Old Style"/>
          <w:b/>
          <w:bCs/>
        </w:rPr>
        <w:t>il fondo relativo all’imposta di soggiorno copre appena un sesto</w:t>
      </w:r>
      <w:r>
        <w:rPr>
          <w:rFonts w:ascii="Bookman Old Style" w:hAnsi="Bookman Old Style"/>
          <w:b/>
          <w:bCs/>
        </w:rPr>
        <w:t xml:space="preserve"> </w:t>
      </w:r>
      <w:r w:rsidRPr="00C35B70">
        <w:rPr>
          <w:rFonts w:ascii="Bookman Old Style" w:hAnsi="Bookman Old Style"/>
        </w:rPr>
        <w:t>del gettito 2019</w:t>
      </w:r>
      <w:r>
        <w:rPr>
          <w:rFonts w:ascii="Bookman Old Style" w:hAnsi="Bookman Old Style"/>
        </w:rPr>
        <w:t xml:space="preserve">. Ad avviso dell’ANCI </w:t>
      </w:r>
      <w:r w:rsidRPr="00C35B70">
        <w:rPr>
          <w:rFonts w:ascii="Bookman Old Style" w:hAnsi="Bookman Old Style"/>
          <w:b/>
          <w:bCs/>
        </w:rPr>
        <w:t>l’importo deve essere portato da 100 a 400 mln. di euro</w:t>
      </w:r>
      <w:r>
        <w:rPr>
          <w:rFonts w:ascii="Bookman Old Style" w:hAnsi="Bookman Old Style"/>
        </w:rPr>
        <w:t>;</w:t>
      </w:r>
    </w:p>
    <w:p w:rsidR="00033714" w:rsidRPr="00634D88" w:rsidRDefault="005500B3" w:rsidP="004A6708">
      <w:pPr>
        <w:pStyle w:val="Paragrafoelenco"/>
        <w:numPr>
          <w:ilvl w:val="0"/>
          <w:numId w:val="1"/>
        </w:numPr>
        <w:spacing w:after="80" w:line="252" w:lineRule="auto"/>
        <w:ind w:left="357" w:hanging="357"/>
        <w:contextualSpacing w:val="0"/>
        <w:jc w:val="both"/>
        <w:rPr>
          <w:rFonts w:ascii="Bookman Old Style" w:hAnsi="Bookman Old Style"/>
          <w:b/>
          <w:bCs/>
        </w:rPr>
      </w:pPr>
      <w:r w:rsidRPr="00634D88">
        <w:rPr>
          <w:rFonts w:ascii="Bookman Old Style" w:hAnsi="Bookman Old Style"/>
        </w:rPr>
        <w:t xml:space="preserve">il fondo per </w:t>
      </w:r>
      <w:r w:rsidR="00C7617F" w:rsidRPr="00634D88">
        <w:rPr>
          <w:rFonts w:ascii="Bookman Old Style" w:hAnsi="Bookman Old Style"/>
        </w:rPr>
        <w:t>il ristoro della perdita di gettito relativa al</w:t>
      </w:r>
      <w:r w:rsidRPr="00634D88">
        <w:rPr>
          <w:rFonts w:ascii="Bookman Old Style" w:hAnsi="Bookman Old Style"/>
        </w:rPr>
        <w:t>l’occupazione</w:t>
      </w:r>
      <w:r w:rsidR="00C7617F" w:rsidRPr="00634D88">
        <w:rPr>
          <w:rFonts w:ascii="Bookman Old Style" w:hAnsi="Bookman Old Style"/>
        </w:rPr>
        <w:t xml:space="preserve"> di suolo dei pubblici esercizi</w:t>
      </w:r>
      <w:r w:rsidRPr="00634D88">
        <w:rPr>
          <w:rFonts w:ascii="Bookman Old Style" w:hAnsi="Bookman Old Style"/>
        </w:rPr>
        <w:t xml:space="preserve">, che appare quantificato nel complesso correttamente, deve essere attentamente monitorato in fase di riparto. Appare inoltre opportuno </w:t>
      </w:r>
      <w:r w:rsidRPr="00634D88">
        <w:rPr>
          <w:rFonts w:ascii="Bookman Old Style" w:hAnsi="Bookman Old Style"/>
          <w:b/>
          <w:bCs/>
        </w:rPr>
        <w:t>chiarire in modo esplicito che le maggiori occupazioni dei pubblici esercizi sono escluse dall’applicazione del prelievo</w:t>
      </w:r>
      <w:r w:rsidRPr="00634D88">
        <w:rPr>
          <w:rFonts w:ascii="Bookman Old Style" w:hAnsi="Bookman Old Style"/>
        </w:rPr>
        <w:t xml:space="preserve"> (con particolare riguardo alla </w:t>
      </w:r>
      <w:proofErr w:type="spellStart"/>
      <w:r w:rsidRPr="00634D88">
        <w:rPr>
          <w:rFonts w:ascii="Bookman Old Style" w:hAnsi="Bookman Old Style"/>
        </w:rPr>
        <w:t>Tosap</w:t>
      </w:r>
      <w:proofErr w:type="spellEnd"/>
      <w:r w:rsidRPr="00634D88">
        <w:rPr>
          <w:rFonts w:ascii="Bookman Old Style" w:hAnsi="Bookman Old Style"/>
        </w:rPr>
        <w:t>, che in quanto “tributo” soggiace al divieto di esenzione da parte dell’ente locale, salvo casi espressamente indicati dalla legge</w:t>
      </w:r>
      <w:r w:rsidR="00033714" w:rsidRPr="00634D88">
        <w:rPr>
          <w:rFonts w:ascii="Bookman Old Style" w:hAnsi="Bookman Old Style"/>
        </w:rPr>
        <w:t xml:space="preserve">) e che </w:t>
      </w:r>
      <w:r w:rsidR="00033714" w:rsidRPr="00634D88">
        <w:rPr>
          <w:rFonts w:ascii="Bookman Old Style" w:hAnsi="Bookman Old Style"/>
          <w:b/>
          <w:bCs/>
        </w:rPr>
        <w:t>le esenzioni previste dall’art. 181 del DL 34/2020 riguardano an</w:t>
      </w:r>
      <w:r w:rsidR="00634D88" w:rsidRPr="00634D88">
        <w:rPr>
          <w:rFonts w:ascii="Bookman Old Style" w:hAnsi="Bookman Old Style"/>
          <w:b/>
          <w:bCs/>
        </w:rPr>
        <w:t>c</w:t>
      </w:r>
      <w:r w:rsidR="00033714" w:rsidRPr="00634D88">
        <w:rPr>
          <w:rFonts w:ascii="Bookman Old Style" w:hAnsi="Bookman Old Style"/>
          <w:b/>
          <w:bCs/>
        </w:rPr>
        <w:t>he categorie finora non com</w:t>
      </w:r>
      <w:r w:rsidR="00634D88" w:rsidRPr="00634D88">
        <w:rPr>
          <w:rFonts w:ascii="Bookman Old Style" w:hAnsi="Bookman Old Style"/>
          <w:b/>
          <w:bCs/>
        </w:rPr>
        <w:t>p</w:t>
      </w:r>
      <w:r w:rsidR="00033714" w:rsidRPr="00634D88">
        <w:rPr>
          <w:rFonts w:ascii="Bookman Old Style" w:hAnsi="Bookman Old Style"/>
          <w:b/>
          <w:bCs/>
        </w:rPr>
        <w:t xml:space="preserve">rese come </w:t>
      </w:r>
      <w:r w:rsidR="00634D88" w:rsidRPr="00634D88">
        <w:rPr>
          <w:rFonts w:ascii="Bookman Old Style" w:hAnsi="Bookman Old Style"/>
          <w:b/>
          <w:bCs/>
        </w:rPr>
        <w:t>l</w:t>
      </w:r>
      <w:r w:rsidR="00033714" w:rsidRPr="00634D88">
        <w:rPr>
          <w:rFonts w:ascii="Bookman Old Style" w:hAnsi="Bookman Old Style"/>
          <w:b/>
          <w:bCs/>
        </w:rPr>
        <w:t>e imprese artigiane</w:t>
      </w:r>
      <w:r w:rsidR="00033714" w:rsidRPr="00634D88">
        <w:rPr>
          <w:rFonts w:ascii="Bookman Old Style" w:hAnsi="Bookman Old Style"/>
        </w:rPr>
        <w:t xml:space="preserve"> di cui all’art. 3</w:t>
      </w:r>
      <w:r w:rsidR="00634D88" w:rsidRPr="00634D88">
        <w:rPr>
          <w:rFonts w:ascii="Bookman Old Style" w:hAnsi="Bookman Old Style"/>
        </w:rPr>
        <w:t xml:space="preserve"> </w:t>
      </w:r>
      <w:r w:rsidR="00033714" w:rsidRPr="00634D88">
        <w:rPr>
          <w:rFonts w:ascii="Bookman Old Style" w:hAnsi="Bookman Old Style"/>
        </w:rPr>
        <w:t xml:space="preserve">della Legge 8 agosto 1985 n. 443, </w:t>
      </w:r>
      <w:r w:rsidR="00033714" w:rsidRPr="00634D88">
        <w:rPr>
          <w:rFonts w:ascii="Bookman Old Style" w:hAnsi="Bookman Old Style"/>
          <w:b/>
          <w:bCs/>
        </w:rPr>
        <w:t>gli esercizi di vicinato e i panifici</w:t>
      </w:r>
      <w:r w:rsidR="00033714" w:rsidRPr="00634D88">
        <w:rPr>
          <w:rFonts w:ascii="Bookman Old Style" w:hAnsi="Bookman Old Style"/>
        </w:rPr>
        <w:t>, ai sensi dell'art. 3</w:t>
      </w:r>
      <w:r w:rsidR="00634D88" w:rsidRPr="00634D88">
        <w:rPr>
          <w:rFonts w:ascii="Bookman Old Style" w:hAnsi="Bookman Old Style"/>
        </w:rPr>
        <w:t xml:space="preserve"> </w:t>
      </w:r>
      <w:r w:rsidR="00033714" w:rsidRPr="00634D88">
        <w:rPr>
          <w:rFonts w:ascii="Bookman Old Style" w:hAnsi="Bookman Old Style"/>
        </w:rPr>
        <w:t>40</w:t>
      </w:r>
      <w:r w:rsidR="00634D88" w:rsidRPr="00634D88">
        <w:rPr>
          <w:rFonts w:ascii="Bookman Old Style" w:hAnsi="Bookman Old Style"/>
        </w:rPr>
        <w:t xml:space="preserve"> </w:t>
      </w:r>
      <w:r w:rsidR="00033714" w:rsidRPr="00634D88">
        <w:rPr>
          <w:rFonts w:ascii="Bookman Old Style" w:hAnsi="Bookman Old Style"/>
        </w:rPr>
        <w:t>comma 1 lettera f-</w:t>
      </w:r>
      <w:r w:rsidR="00033714" w:rsidRPr="00634D88">
        <w:rPr>
          <w:rFonts w:ascii="Bookman Old Style" w:hAnsi="Bookman Old Style"/>
          <w:i/>
          <w:iCs/>
        </w:rPr>
        <w:t xml:space="preserve">bis </w:t>
      </w:r>
      <w:r w:rsidR="00033714" w:rsidRPr="00634D88">
        <w:rPr>
          <w:rFonts w:ascii="Bookman Old Style" w:hAnsi="Bookman Old Style"/>
        </w:rPr>
        <w:t>e dell'art. 4 comma 2-</w:t>
      </w:r>
      <w:r w:rsidR="00033714" w:rsidRPr="00634D88">
        <w:rPr>
          <w:rFonts w:ascii="Bookman Old Style" w:hAnsi="Bookman Old Style"/>
          <w:i/>
          <w:iCs/>
        </w:rPr>
        <w:t xml:space="preserve">bis </w:t>
      </w:r>
      <w:r w:rsidR="00033714" w:rsidRPr="00634D88">
        <w:rPr>
          <w:rFonts w:ascii="Bookman Old Style" w:hAnsi="Bookman Old Style"/>
        </w:rPr>
        <w:t>del decreto legge 4 luglio 2006 n. 223</w:t>
      </w:r>
      <w:r w:rsidR="00634D88" w:rsidRPr="00634D88">
        <w:rPr>
          <w:rFonts w:ascii="Bookman Old Style" w:hAnsi="Bookman Old Style"/>
        </w:rPr>
        <w:t xml:space="preserve"> </w:t>
      </w:r>
      <w:r w:rsidR="00033714" w:rsidRPr="00634D88">
        <w:rPr>
          <w:rFonts w:ascii="Bookman Old Style" w:hAnsi="Bookman Old Style"/>
        </w:rPr>
        <w:t>convertito, con modificazioni, dalla legge 4 agosto 2006, n. 248</w:t>
      </w:r>
      <w:r w:rsidR="00634D88">
        <w:rPr>
          <w:rFonts w:ascii="Bookman Old Style" w:hAnsi="Bookman Old Style"/>
        </w:rPr>
        <w:t>;</w:t>
      </w:r>
    </w:p>
    <w:p w:rsidR="005500B3" w:rsidRDefault="005500B3" w:rsidP="00C7617F">
      <w:pPr>
        <w:pStyle w:val="Paragrafoelenco"/>
        <w:numPr>
          <w:ilvl w:val="0"/>
          <w:numId w:val="1"/>
        </w:numPr>
        <w:spacing w:after="80" w:line="252" w:lineRule="auto"/>
        <w:ind w:left="357" w:hanging="357"/>
        <w:contextualSpacing w:val="0"/>
        <w:jc w:val="both"/>
        <w:rPr>
          <w:rFonts w:ascii="Bookman Old Style" w:hAnsi="Bookman Old Style"/>
          <w:b/>
          <w:bCs/>
        </w:rPr>
      </w:pPr>
      <w:r>
        <w:rPr>
          <w:rFonts w:ascii="Bookman Old Style" w:hAnsi="Bookman Old Style"/>
        </w:rPr>
        <w:t xml:space="preserve">va introdotto un </w:t>
      </w:r>
      <w:r w:rsidRPr="00B46A6C">
        <w:rPr>
          <w:rFonts w:ascii="Bookman Old Style" w:hAnsi="Bookman Old Style"/>
          <w:b/>
          <w:bCs/>
        </w:rPr>
        <w:t>intervento sulla TARI</w:t>
      </w:r>
      <w:r w:rsidRPr="00B46A6C">
        <w:rPr>
          <w:rFonts w:ascii="Bookman Old Style" w:hAnsi="Bookman Old Style"/>
        </w:rPr>
        <w:t xml:space="preserve">, sia in termini di risorse dedicate, sia per </w:t>
      </w:r>
      <w:r>
        <w:rPr>
          <w:rFonts w:ascii="Bookman Old Style" w:hAnsi="Bookman Old Style"/>
        </w:rPr>
        <w:t xml:space="preserve">l’esigenza </w:t>
      </w:r>
      <w:r w:rsidRPr="00B46A6C">
        <w:rPr>
          <w:rFonts w:ascii="Bookman Old Style" w:hAnsi="Bookman Old Style"/>
        </w:rPr>
        <w:t xml:space="preserve">di </w:t>
      </w:r>
      <w:r w:rsidRPr="00B46A6C">
        <w:rPr>
          <w:rFonts w:ascii="Bookman Old Style" w:hAnsi="Bookman Old Style"/>
          <w:b/>
          <w:bCs/>
        </w:rPr>
        <w:t>uno schema ragionevole e uniforme di agevolazione nazionale</w:t>
      </w:r>
      <w:r>
        <w:rPr>
          <w:rFonts w:ascii="Bookman Old Style" w:hAnsi="Bookman Old Style"/>
        </w:rPr>
        <w:t xml:space="preserve">, anche al fine di colmare l’assoluta insufficienza dello schema recentemente indicato da </w:t>
      </w:r>
      <w:r w:rsidRPr="00B46A6C">
        <w:rPr>
          <w:rFonts w:ascii="Bookman Old Style" w:hAnsi="Bookman Old Style"/>
        </w:rPr>
        <w:t>ARERA (Del. n. 158).</w:t>
      </w:r>
      <w:r>
        <w:rPr>
          <w:rFonts w:ascii="Bookman Old Style" w:hAnsi="Bookman Old Style"/>
        </w:rPr>
        <w:t xml:space="preserve"> Un’agevolazione robusta, puntata su tre mesi di difficoltà per le aziende sottoposte a </w:t>
      </w:r>
      <w:proofErr w:type="spellStart"/>
      <w:r w:rsidRPr="00B46A6C">
        <w:rPr>
          <w:rFonts w:ascii="Bookman Old Style" w:hAnsi="Bookman Old Style"/>
          <w:i/>
          <w:iCs/>
        </w:rPr>
        <w:t>lockdown</w:t>
      </w:r>
      <w:proofErr w:type="spellEnd"/>
      <w:r>
        <w:rPr>
          <w:rFonts w:ascii="Bookman Old Style" w:hAnsi="Bookman Old Style"/>
        </w:rPr>
        <w:t>, evitando distinzioni astruse tra “quota variabile”</w:t>
      </w:r>
      <w:r w:rsidRPr="00B46A6C">
        <w:rPr>
          <w:rFonts w:ascii="Bookman Old Style" w:hAnsi="Bookman Old Style"/>
        </w:rPr>
        <w:t xml:space="preserve"> </w:t>
      </w:r>
      <w:r>
        <w:rPr>
          <w:rFonts w:ascii="Bookman Old Style" w:hAnsi="Bookman Old Style"/>
        </w:rPr>
        <w:t>e “quota fissa” della tariffa, nonché estesa alle famiglie in maggiore difficolt</w:t>
      </w:r>
      <w:r w:rsidRPr="00A97506">
        <w:rPr>
          <w:rFonts w:ascii="Bookman Old Style" w:hAnsi="Bookman Old Style"/>
        </w:rPr>
        <w:t>à, può essere valutata intorno a 1,5 mld. di euro,</w:t>
      </w:r>
      <w:r>
        <w:rPr>
          <w:rFonts w:ascii="Bookman Old Style" w:hAnsi="Bookman Old Style"/>
          <w:b/>
          <w:bCs/>
        </w:rPr>
        <w:t xml:space="preserve"> di cui almeno 400 mln. da stanziare quale canale separato di ristoro </w:t>
      </w:r>
      <w:r w:rsidRPr="00A97506">
        <w:rPr>
          <w:rFonts w:ascii="Bookman Old Style" w:hAnsi="Bookman Old Style"/>
        </w:rPr>
        <w:t>in relazione alla citata disposizione dell’ARERA.</w:t>
      </w:r>
      <w:r>
        <w:rPr>
          <w:rFonts w:ascii="Bookman Old Style" w:hAnsi="Bookman Old Style"/>
          <w:b/>
          <w:bCs/>
        </w:rPr>
        <w:t xml:space="preserve"> ANCI ritiene, in proposito, quanto mai inopportuno che il costo delle agevolazioni indicate da ARERA possa essere accollato alle famiglie e alle aziende non direttamente colpite dai </w:t>
      </w:r>
      <w:proofErr w:type="spellStart"/>
      <w:r w:rsidRPr="00654436">
        <w:rPr>
          <w:rFonts w:ascii="Bookman Old Style" w:hAnsi="Bookman Old Style"/>
          <w:b/>
          <w:bCs/>
          <w:i/>
          <w:iCs/>
        </w:rPr>
        <w:t>lockdown</w:t>
      </w:r>
      <w:proofErr w:type="spellEnd"/>
      <w:r>
        <w:rPr>
          <w:rFonts w:ascii="Bookman Old Style" w:hAnsi="Bookman Old Style"/>
          <w:b/>
          <w:bCs/>
        </w:rPr>
        <w:t>, come qualche commentatore sta sostenendo</w:t>
      </w:r>
      <w:r w:rsidR="00524F9C">
        <w:rPr>
          <w:rFonts w:ascii="Bookman Old Style" w:hAnsi="Bookman Old Style"/>
          <w:b/>
          <w:bCs/>
        </w:rPr>
        <w:t>.</w:t>
      </w:r>
    </w:p>
    <w:p w:rsidR="00524F9C" w:rsidRDefault="00524F9C" w:rsidP="00524F9C">
      <w:pPr>
        <w:spacing w:after="80" w:line="252" w:lineRule="auto"/>
        <w:jc w:val="both"/>
        <w:rPr>
          <w:rFonts w:ascii="Bookman Old Style" w:hAnsi="Bookman Old Style"/>
          <w:b/>
          <w:bCs/>
        </w:rPr>
      </w:pPr>
    </w:p>
    <w:p w:rsidR="00524F9C" w:rsidRPr="00524F9C" w:rsidRDefault="00524F9C" w:rsidP="00524F9C">
      <w:pPr>
        <w:jc w:val="both"/>
        <w:rPr>
          <w:rFonts w:ascii="Bookman Old Style" w:hAnsi="Bookman Old Style"/>
        </w:rPr>
      </w:pPr>
      <w:r w:rsidRPr="00524F9C">
        <w:rPr>
          <w:rFonts w:ascii="Bookman Old Style" w:hAnsi="Bookman Old Style"/>
        </w:rPr>
        <w:t xml:space="preserve">Al di là </w:t>
      </w:r>
      <w:r>
        <w:rPr>
          <w:rFonts w:ascii="Bookman Old Style" w:hAnsi="Bookman Old Style"/>
        </w:rPr>
        <w:t xml:space="preserve">di queste </w:t>
      </w:r>
      <w:r w:rsidRPr="00524F9C">
        <w:rPr>
          <w:rFonts w:ascii="Bookman Old Style" w:hAnsi="Bookman Old Style"/>
        </w:rPr>
        <w:t xml:space="preserve">misure </w:t>
      </w:r>
      <w:r>
        <w:rPr>
          <w:rFonts w:ascii="Bookman Old Style" w:hAnsi="Bookman Old Style"/>
        </w:rPr>
        <w:t xml:space="preserve">specifiche, </w:t>
      </w:r>
      <w:r w:rsidRPr="00524F9C">
        <w:rPr>
          <w:rFonts w:ascii="Bookman Old Style" w:hAnsi="Bookman Old Style"/>
        </w:rPr>
        <w:t xml:space="preserve">emerge la necessità di guardare ad un nuovo approccio sul quale basare l’utilizzo dei fondi nazionali di settore e le Politiche di Coesione e un conseguente </w:t>
      </w:r>
      <w:r w:rsidRPr="00EA3261">
        <w:rPr>
          <w:rFonts w:ascii="Bookman Old Style" w:hAnsi="Bookman Old Style"/>
          <w:b/>
          <w:bCs/>
        </w:rPr>
        <w:t>rinnovato meccanismo di programmazione e spesa dei fondi strutturali</w:t>
      </w:r>
      <w:r w:rsidRPr="00524F9C">
        <w:rPr>
          <w:rFonts w:ascii="Bookman Old Style" w:hAnsi="Bookman Old Style"/>
        </w:rPr>
        <w:t xml:space="preserve">. Un cambio di prospettiva che il sistema dei Comuni vede come necessario per far realmente ripartire il Paese, nella consapevolezza che la situazione contingente che stiamo vivendo ci obbliga ad un cambio di rotta coraggioso </w:t>
      </w:r>
      <w:r w:rsidRPr="00EA3261">
        <w:rPr>
          <w:rFonts w:ascii="Bookman Old Style" w:hAnsi="Bookman Old Style"/>
          <w:b/>
          <w:bCs/>
        </w:rPr>
        <w:t>che contempli un allargamento del perimetro e delle forme di gestione diretta delle risorse da parte dei Comuni</w:t>
      </w:r>
      <w:r w:rsidRPr="00524F9C">
        <w:rPr>
          <w:rFonts w:ascii="Bookman Old Style" w:hAnsi="Bookman Old Style"/>
        </w:rPr>
        <w:t>, in coerenza con il loro ruolo di principali attori del processo di cambiamento in atto</w:t>
      </w:r>
      <w:r>
        <w:rPr>
          <w:rFonts w:ascii="Bookman Old Style" w:hAnsi="Bookman Old Style"/>
        </w:rPr>
        <w:t>.</w:t>
      </w:r>
    </w:p>
    <w:p w:rsidR="00664ADB" w:rsidRDefault="00664ADB" w:rsidP="00664ADB">
      <w:pPr>
        <w:shd w:val="clear" w:color="auto" w:fill="FFFFFF"/>
        <w:spacing w:after="120"/>
        <w:jc w:val="both"/>
        <w:textAlignment w:val="baseline"/>
        <w:rPr>
          <w:rFonts w:ascii="Candara" w:eastAsia="Times New Roman" w:hAnsi="Candara" w:cs="Calibri"/>
          <w:color w:val="000000"/>
          <w:bdr w:val="none" w:sz="0" w:space="0" w:color="auto" w:frame="1"/>
          <w:lang w:eastAsia="it-IT"/>
        </w:rPr>
      </w:pPr>
    </w:p>
    <w:p w:rsidR="0061446D" w:rsidRPr="000E5787" w:rsidRDefault="00D600B7" w:rsidP="0061446D">
      <w:pPr>
        <w:jc w:val="both"/>
        <w:rPr>
          <w:rFonts w:asciiTheme="majorHAnsi" w:eastAsia="Bookman Old Style" w:hAnsiTheme="majorHAnsi" w:cstheme="majorBidi"/>
          <w:color w:val="365F91" w:themeColor="accent1" w:themeShade="BF"/>
          <w:sz w:val="32"/>
          <w:szCs w:val="32"/>
        </w:rPr>
      </w:pPr>
      <w:r w:rsidRPr="000E5787">
        <w:rPr>
          <w:rFonts w:asciiTheme="majorHAnsi" w:eastAsia="Bookman Old Style" w:hAnsiTheme="majorHAnsi" w:cstheme="majorBidi"/>
          <w:color w:val="365F91" w:themeColor="accent1" w:themeShade="BF"/>
          <w:sz w:val="32"/>
          <w:szCs w:val="32"/>
        </w:rPr>
        <w:t xml:space="preserve">Proposte </w:t>
      </w:r>
      <w:r w:rsidR="0061446D" w:rsidRPr="000E5787">
        <w:rPr>
          <w:rFonts w:asciiTheme="majorHAnsi" w:eastAsia="Bookman Old Style" w:hAnsiTheme="majorHAnsi" w:cstheme="majorBidi"/>
          <w:color w:val="365F91" w:themeColor="accent1" w:themeShade="BF"/>
          <w:sz w:val="32"/>
          <w:szCs w:val="32"/>
        </w:rPr>
        <w:t>di medio e lungo periodo per il supporto e il rilancio del</w:t>
      </w:r>
      <w:r w:rsidR="003C01D6" w:rsidRPr="000E5787">
        <w:rPr>
          <w:rFonts w:asciiTheme="majorHAnsi" w:eastAsia="Bookman Old Style" w:hAnsiTheme="majorHAnsi" w:cstheme="majorBidi"/>
          <w:color w:val="365F91" w:themeColor="accent1" w:themeShade="BF"/>
          <w:sz w:val="32"/>
          <w:szCs w:val="32"/>
        </w:rPr>
        <w:t xml:space="preserve"> turismo, del</w:t>
      </w:r>
      <w:r w:rsidR="0061446D" w:rsidRPr="000E5787">
        <w:rPr>
          <w:rFonts w:asciiTheme="majorHAnsi" w:eastAsia="Bookman Old Style" w:hAnsiTheme="majorHAnsi" w:cstheme="majorBidi"/>
          <w:color w:val="365F91" w:themeColor="accent1" w:themeShade="BF"/>
          <w:sz w:val="32"/>
          <w:szCs w:val="32"/>
        </w:rPr>
        <w:t xml:space="preserve"> commercio al dettaglio</w:t>
      </w:r>
      <w:r w:rsidR="003C01D6" w:rsidRPr="000E5787">
        <w:rPr>
          <w:rFonts w:asciiTheme="majorHAnsi" w:eastAsia="Bookman Old Style" w:hAnsiTheme="majorHAnsi" w:cstheme="majorBidi"/>
          <w:color w:val="365F91" w:themeColor="accent1" w:themeShade="BF"/>
          <w:sz w:val="32"/>
          <w:szCs w:val="32"/>
        </w:rPr>
        <w:t xml:space="preserve"> </w:t>
      </w:r>
      <w:r w:rsidR="0061446D" w:rsidRPr="000E5787">
        <w:rPr>
          <w:rFonts w:asciiTheme="majorHAnsi" w:eastAsia="Bookman Old Style" w:hAnsiTheme="majorHAnsi" w:cstheme="majorBidi"/>
          <w:color w:val="365F91" w:themeColor="accent1" w:themeShade="BF"/>
          <w:sz w:val="32"/>
          <w:szCs w:val="32"/>
        </w:rPr>
        <w:t xml:space="preserve">e dell’artigianato </w:t>
      </w:r>
    </w:p>
    <w:p w:rsidR="0061446D" w:rsidRPr="0061446D" w:rsidRDefault="0061446D" w:rsidP="0061446D">
      <w:pPr>
        <w:jc w:val="both"/>
        <w:rPr>
          <w:rFonts w:ascii="Bookman Old Style" w:hAnsi="Bookman Old Style"/>
        </w:rPr>
      </w:pPr>
      <w:r w:rsidRPr="0061446D">
        <w:rPr>
          <w:rFonts w:ascii="Bookman Old Style" w:hAnsi="Bookman Old Style"/>
        </w:rPr>
        <w:t xml:space="preserve">Alla luce dei dati citati in precedenza, senza una strategia organica e accompagnata da risorse e progettualità adeguate </w:t>
      </w:r>
      <w:r w:rsidR="00634D88">
        <w:rPr>
          <w:rFonts w:ascii="Bookman Old Style" w:hAnsi="Bookman Old Style"/>
        </w:rPr>
        <w:t xml:space="preserve">molte componenti del </w:t>
      </w:r>
      <w:r w:rsidRPr="0061446D">
        <w:rPr>
          <w:rFonts w:ascii="Bookman Old Style" w:hAnsi="Bookman Old Style"/>
        </w:rPr>
        <w:t>mondo delle micro, piccole e medie imprese del commercio al dettaglio, dell’artigianato, del turismo, dell’agricoltura, della pesca - già investit</w:t>
      </w:r>
      <w:r w:rsidR="00634D88">
        <w:rPr>
          <w:rFonts w:ascii="Bookman Old Style" w:hAnsi="Bookman Old Style"/>
        </w:rPr>
        <w:t>e</w:t>
      </w:r>
      <w:r w:rsidRPr="0061446D">
        <w:rPr>
          <w:rFonts w:ascii="Bookman Old Style" w:hAnsi="Bookman Old Style"/>
        </w:rPr>
        <w:t xml:space="preserve"> da un profondo processo di mutamento generato dalla grande distribuzione prima e dal commercio on line dopo, ma tutt’ora presidio sociale ed </w:t>
      </w:r>
      <w:r w:rsidRPr="0061446D">
        <w:rPr>
          <w:rFonts w:ascii="Bookman Old Style" w:hAnsi="Bookman Old Style"/>
        </w:rPr>
        <w:lastRenderedPageBreak/>
        <w:t>economico decisivo in molte realtà locali - rischia</w:t>
      </w:r>
      <w:r w:rsidR="00634D88">
        <w:rPr>
          <w:rFonts w:ascii="Bookman Old Style" w:hAnsi="Bookman Old Style"/>
        </w:rPr>
        <w:t>no</w:t>
      </w:r>
      <w:r w:rsidRPr="0061446D">
        <w:rPr>
          <w:rFonts w:ascii="Bookman Old Style" w:hAnsi="Bookman Old Style"/>
        </w:rPr>
        <w:t xml:space="preserve"> di scomparire travolt</w:t>
      </w:r>
      <w:r w:rsidR="00634D88">
        <w:rPr>
          <w:rFonts w:ascii="Bookman Old Style" w:hAnsi="Bookman Old Style"/>
        </w:rPr>
        <w:t>e</w:t>
      </w:r>
      <w:r w:rsidRPr="0061446D">
        <w:rPr>
          <w:rFonts w:ascii="Bookman Old Style" w:hAnsi="Bookman Old Style"/>
        </w:rPr>
        <w:t xml:space="preserve"> dall’emergenza sanitaria.</w:t>
      </w:r>
    </w:p>
    <w:p w:rsidR="0061446D" w:rsidRDefault="0061446D" w:rsidP="0061446D">
      <w:pPr>
        <w:spacing w:after="120"/>
        <w:jc w:val="both"/>
        <w:rPr>
          <w:rFonts w:ascii="Bookman Old Style" w:hAnsi="Bookman Old Style"/>
        </w:rPr>
      </w:pPr>
      <w:r>
        <w:rPr>
          <w:rFonts w:ascii="Bookman Old Style" w:hAnsi="Bookman Old Style"/>
        </w:rPr>
        <w:t xml:space="preserve">Oltre alle misure già messe in campo per dare </w:t>
      </w:r>
      <w:r w:rsidRPr="0061446D">
        <w:rPr>
          <w:rFonts w:ascii="Bookman Old Style" w:hAnsi="Bookman Old Style"/>
        </w:rPr>
        <w:t>alle piccole realtà produttive l’ossigeno per resistere al periodo di chiusura forzata e di ripartenza con le regole di distanziamento sociale</w:t>
      </w:r>
      <w:r>
        <w:rPr>
          <w:rFonts w:ascii="Bookman Old Style" w:hAnsi="Bookman Old Style"/>
        </w:rPr>
        <w:t xml:space="preserve"> </w:t>
      </w:r>
      <w:r w:rsidR="00900820">
        <w:rPr>
          <w:rFonts w:ascii="Bookman Old Style" w:hAnsi="Bookman Old Style"/>
        </w:rPr>
        <w:t>-</w:t>
      </w:r>
      <w:r>
        <w:rPr>
          <w:rFonts w:ascii="Bookman Old Style" w:hAnsi="Bookman Old Style"/>
        </w:rPr>
        <w:t xml:space="preserve"> di cui l’ANCI apprezza </w:t>
      </w:r>
      <w:r w:rsidR="00900820">
        <w:rPr>
          <w:rFonts w:ascii="Bookman Old Style" w:hAnsi="Bookman Old Style"/>
        </w:rPr>
        <w:t xml:space="preserve">l’impostazione ma chiede, come riportato sopra, il potenziamento - </w:t>
      </w:r>
      <w:r w:rsidR="00900820" w:rsidRPr="00634D88">
        <w:rPr>
          <w:rFonts w:ascii="Bookman Old Style" w:hAnsi="Bookman Old Style"/>
          <w:b/>
          <w:bCs/>
        </w:rPr>
        <w:t>v</w:t>
      </w:r>
      <w:r w:rsidRPr="00634D88">
        <w:rPr>
          <w:rFonts w:ascii="Bookman Old Style" w:hAnsi="Bookman Old Style"/>
          <w:b/>
          <w:bCs/>
        </w:rPr>
        <w:t xml:space="preserve">anno messi in campo interventi che, sul medio e lungo periodo, guardino a queste realtà come svolgenti una funzione </w:t>
      </w:r>
      <w:r w:rsidR="00634D88">
        <w:rPr>
          <w:rFonts w:ascii="Bookman Old Style" w:hAnsi="Bookman Old Style"/>
          <w:b/>
          <w:bCs/>
        </w:rPr>
        <w:t>sociale</w:t>
      </w:r>
      <w:r w:rsidRPr="00634D88">
        <w:rPr>
          <w:rFonts w:ascii="Bookman Old Style" w:hAnsi="Bookman Old Style"/>
          <w:b/>
          <w:bCs/>
        </w:rPr>
        <w:t xml:space="preserve"> fondamentale</w:t>
      </w:r>
      <w:r w:rsidRPr="0061446D">
        <w:rPr>
          <w:rFonts w:ascii="Bookman Old Style" w:hAnsi="Bookman Old Style"/>
        </w:rPr>
        <w:t>, prevedendo azioni e strumenti diversificati in base alla tipologia e alla dimensione comunale.</w:t>
      </w:r>
    </w:p>
    <w:p w:rsidR="005E6EA1" w:rsidRPr="003C01D6" w:rsidRDefault="005E6EA1" w:rsidP="005E6EA1">
      <w:pPr>
        <w:spacing w:after="120"/>
        <w:jc w:val="both"/>
        <w:rPr>
          <w:rFonts w:ascii="Bookman Old Style" w:hAnsi="Bookman Old Style"/>
        </w:rPr>
      </w:pPr>
      <w:r>
        <w:rPr>
          <w:rFonts w:ascii="Bookman Old Style" w:hAnsi="Bookman Old Style"/>
        </w:rPr>
        <w:t>Sul fronte dell’</w:t>
      </w:r>
      <w:r w:rsidRPr="005E6EA1">
        <w:rPr>
          <w:rFonts w:ascii="Bookman Old Style" w:hAnsi="Bookman Old Style"/>
          <w:b/>
          <w:bCs/>
        </w:rPr>
        <w:t>industria turistica</w:t>
      </w:r>
      <w:r>
        <w:rPr>
          <w:rFonts w:ascii="Bookman Old Style" w:hAnsi="Bookman Old Style"/>
        </w:rPr>
        <w:t xml:space="preserve">, </w:t>
      </w:r>
      <w:r w:rsidRPr="003C01D6">
        <w:rPr>
          <w:rFonts w:ascii="Bookman Old Style" w:hAnsi="Bookman Old Style"/>
        </w:rPr>
        <w:t xml:space="preserve">per la tenuta e lo sviluppo dell’economia delle nostre città è fondamentale delineare strategie in grado di garantire la sopravvivenza del comparto e di limitare, per quanto possibile, i danni. Fondamentale, a tal fine, sarà la definizione di un programma di rilancio del settore turistico che preveda </w:t>
      </w:r>
      <w:r w:rsidRPr="005E6EA1">
        <w:rPr>
          <w:rFonts w:ascii="Bookman Old Style" w:hAnsi="Bookman Old Style"/>
          <w:b/>
          <w:bCs/>
        </w:rPr>
        <w:t>interventi di adattamento dell’offerta a modalità di fruizione compatibili con i vincoli di “distanziamento personale”</w:t>
      </w:r>
      <w:r w:rsidRPr="003C01D6">
        <w:rPr>
          <w:rFonts w:ascii="Bookman Old Style" w:hAnsi="Bookman Old Style"/>
        </w:rPr>
        <w:t xml:space="preserve"> che, probabilmente, saranno adottati anche nei mesi successivi alla fase più critica dell'emergenza.</w:t>
      </w:r>
    </w:p>
    <w:p w:rsidR="002163EB" w:rsidRDefault="005E6EA1" w:rsidP="0061446D">
      <w:pPr>
        <w:spacing w:after="120"/>
        <w:jc w:val="both"/>
        <w:rPr>
          <w:rFonts w:ascii="Bookman Old Style" w:hAnsi="Bookman Old Style"/>
        </w:rPr>
      </w:pPr>
      <w:r>
        <w:rPr>
          <w:rFonts w:ascii="Bookman Old Style" w:hAnsi="Bookman Old Style"/>
        </w:rPr>
        <w:t xml:space="preserve">Sul fronte del </w:t>
      </w:r>
      <w:r w:rsidRPr="005E6EA1">
        <w:rPr>
          <w:rFonts w:ascii="Bookman Old Style" w:hAnsi="Bookman Old Style"/>
          <w:b/>
          <w:bCs/>
        </w:rPr>
        <w:t>commercio e dell’artigianato</w:t>
      </w:r>
      <w:r>
        <w:rPr>
          <w:rFonts w:ascii="Bookman Old Style" w:hAnsi="Bookman Old Style"/>
        </w:rPr>
        <w:t>, i</w:t>
      </w:r>
      <w:r w:rsidR="009F12DD">
        <w:rPr>
          <w:rFonts w:ascii="Bookman Old Style" w:hAnsi="Bookman Old Style"/>
        </w:rPr>
        <w:t xml:space="preserve"> mesi del </w:t>
      </w:r>
      <w:proofErr w:type="spellStart"/>
      <w:r w:rsidR="009F12DD" w:rsidRPr="009F12DD">
        <w:rPr>
          <w:rFonts w:ascii="Bookman Old Style" w:hAnsi="Bookman Old Style"/>
          <w:i/>
        </w:rPr>
        <w:t>lockdown</w:t>
      </w:r>
      <w:proofErr w:type="spellEnd"/>
      <w:r w:rsidR="009F12DD">
        <w:rPr>
          <w:rFonts w:ascii="Bookman Old Style" w:hAnsi="Bookman Old Style"/>
        </w:rPr>
        <w:t xml:space="preserve"> e queste prime settimane della c.d. “fase 2” hanno fatto emergere alcune evidenze che, anche se ancora devono essere supportate da indagini specifiche, possono costituire le basi per impostare i prossimi interventi di supporto allo sviluppo locale. </w:t>
      </w:r>
      <w:r w:rsidR="00C56A9B">
        <w:rPr>
          <w:rFonts w:ascii="Bookman Old Style" w:hAnsi="Bookman Old Style"/>
        </w:rPr>
        <w:t xml:space="preserve">In questa sede se ne citano tre, che si ritengono fra le più impattanti sulle competenze degli enti locali. </w:t>
      </w:r>
      <w:r w:rsidR="009F12DD">
        <w:rPr>
          <w:rFonts w:ascii="Bookman Old Style" w:hAnsi="Bookman Old Style"/>
        </w:rPr>
        <w:t xml:space="preserve">La prima riguarda la </w:t>
      </w:r>
      <w:r w:rsidR="009F12DD" w:rsidRPr="00634D88">
        <w:rPr>
          <w:rFonts w:ascii="Bookman Old Style" w:hAnsi="Bookman Old Style"/>
          <w:b/>
          <w:bCs/>
        </w:rPr>
        <w:t>rinnovata centralità</w:t>
      </w:r>
      <w:r w:rsidR="009F12DD">
        <w:rPr>
          <w:rFonts w:ascii="Bookman Old Style" w:hAnsi="Bookman Old Style"/>
        </w:rPr>
        <w:t xml:space="preserve">, quasi una riscoperta, </w:t>
      </w:r>
      <w:r w:rsidR="009F12DD" w:rsidRPr="00634D88">
        <w:rPr>
          <w:rFonts w:ascii="Bookman Old Style" w:hAnsi="Bookman Old Style"/>
          <w:b/>
          <w:bCs/>
        </w:rPr>
        <w:t>del commercio di vicinato</w:t>
      </w:r>
      <w:r w:rsidR="009F12DD">
        <w:rPr>
          <w:rFonts w:ascii="Bookman Old Style" w:hAnsi="Bookman Old Style"/>
        </w:rPr>
        <w:t>, che in questi mesi ha costituito un presidio fondamentale – soprattutto per le fasce più deboli della popolazione - per l’approvvigionamento dei beni di prima necessità, e che in molti casi ha agito in sinergia con il volontariato e i servizi sociali comunali</w:t>
      </w:r>
      <w:r w:rsidR="002163EB">
        <w:rPr>
          <w:rFonts w:ascii="Bookman Old Style" w:hAnsi="Bookman Old Style"/>
        </w:rPr>
        <w:t xml:space="preserve">. La seconda si riferisce alla </w:t>
      </w:r>
      <w:r w:rsidR="002163EB" w:rsidRPr="00634D88">
        <w:rPr>
          <w:rFonts w:ascii="Bookman Old Style" w:hAnsi="Bookman Old Style"/>
          <w:b/>
          <w:bCs/>
        </w:rPr>
        <w:t>crescita impetuosa dell’e-commerce</w:t>
      </w:r>
      <w:r w:rsidR="008D1973">
        <w:rPr>
          <w:rFonts w:ascii="Bookman Old Style" w:hAnsi="Bookman Old Style"/>
        </w:rPr>
        <w:t xml:space="preserve"> - +20,7% a marzo 2020 secondo l’ISTAT - </w:t>
      </w:r>
      <w:r w:rsidR="002163EB">
        <w:rPr>
          <w:rFonts w:ascii="Bookman Old Style" w:hAnsi="Bookman Old Style"/>
        </w:rPr>
        <w:t xml:space="preserve">con il quale hanno preso dimestichezza </w:t>
      </w:r>
      <w:r w:rsidR="00634D88">
        <w:rPr>
          <w:rFonts w:ascii="Bookman Old Style" w:hAnsi="Bookman Old Style"/>
        </w:rPr>
        <w:t>tanti cittadini</w:t>
      </w:r>
      <w:r w:rsidR="002163EB">
        <w:rPr>
          <w:rFonts w:ascii="Bookman Old Style" w:hAnsi="Bookman Old Style"/>
        </w:rPr>
        <w:t xml:space="preserve"> che finora non si erano mai cimentati con questa modalità di acquisto.</w:t>
      </w:r>
      <w:r w:rsidR="008D1973">
        <w:rPr>
          <w:rFonts w:ascii="Bookman Old Style" w:hAnsi="Bookman Old Style"/>
        </w:rPr>
        <w:t xml:space="preserve"> </w:t>
      </w:r>
      <w:r w:rsidR="008D1973" w:rsidRPr="00C56A9B">
        <w:rPr>
          <w:rFonts w:ascii="Bookman Old Style" w:hAnsi="Bookman Old Style"/>
        </w:rPr>
        <w:t>La terza</w:t>
      </w:r>
      <w:r w:rsidR="00C56A9B" w:rsidRPr="00C56A9B">
        <w:rPr>
          <w:rFonts w:ascii="Bookman Old Style" w:hAnsi="Bookman Old Style"/>
        </w:rPr>
        <w:t xml:space="preserve"> riguarda infine</w:t>
      </w:r>
      <w:r w:rsidR="00C56A9B">
        <w:rPr>
          <w:rFonts w:ascii="Bookman Old Style" w:hAnsi="Bookman Old Style"/>
        </w:rPr>
        <w:t xml:space="preserve"> l’urgenza di </w:t>
      </w:r>
      <w:r w:rsidR="00C56A9B" w:rsidRPr="00634D88">
        <w:rPr>
          <w:rFonts w:ascii="Bookman Old Style" w:hAnsi="Bookman Old Style"/>
          <w:b/>
          <w:bCs/>
        </w:rPr>
        <w:t>procedere a semplificazioni amministrative</w:t>
      </w:r>
      <w:r w:rsidR="00C56A9B">
        <w:rPr>
          <w:rFonts w:ascii="Bookman Old Style" w:hAnsi="Bookman Old Style"/>
        </w:rPr>
        <w:t xml:space="preserve"> che possano liberare ed efficientare risorse sia per le aziende che per gli enti.   </w:t>
      </w:r>
    </w:p>
    <w:p w:rsidR="008171D1" w:rsidRDefault="008D1973" w:rsidP="0061446D">
      <w:pPr>
        <w:spacing w:after="120"/>
        <w:jc w:val="both"/>
        <w:rPr>
          <w:rFonts w:ascii="Bookman Old Style" w:hAnsi="Bookman Old Style"/>
        </w:rPr>
      </w:pPr>
      <w:r>
        <w:rPr>
          <w:rFonts w:ascii="Bookman Old Style" w:hAnsi="Bookman Old Style"/>
        </w:rPr>
        <w:t xml:space="preserve">Queste dinamiche hanno ripercussioni dirette e immediate sulle città: </w:t>
      </w:r>
      <w:r w:rsidR="00C56A9B">
        <w:rPr>
          <w:rFonts w:ascii="Bookman Old Style" w:hAnsi="Bookman Old Style"/>
        </w:rPr>
        <w:t xml:space="preserve">sulla loro impronta urbanistica, sulla mobilità, sui servizi pubblici locali in generale. Per questo, l’ANCI ritiene </w:t>
      </w:r>
      <w:r w:rsidR="00D600B7">
        <w:rPr>
          <w:rFonts w:ascii="Bookman Old Style" w:hAnsi="Bookman Old Style"/>
        </w:rPr>
        <w:t xml:space="preserve">necessario </w:t>
      </w:r>
      <w:r w:rsidR="00C56A9B">
        <w:rPr>
          <w:rFonts w:ascii="Bookman Old Style" w:hAnsi="Bookman Old Style"/>
        </w:rPr>
        <w:t>che</w:t>
      </w:r>
      <w:r w:rsidR="008171D1">
        <w:rPr>
          <w:rFonts w:ascii="Bookman Old Style" w:hAnsi="Bookman Old Style"/>
        </w:rPr>
        <w:t>:</w:t>
      </w:r>
    </w:p>
    <w:p w:rsidR="008171D1" w:rsidRDefault="00C56A9B" w:rsidP="008171D1">
      <w:pPr>
        <w:pStyle w:val="Paragrafoelenco"/>
        <w:numPr>
          <w:ilvl w:val="0"/>
          <w:numId w:val="1"/>
        </w:numPr>
        <w:spacing w:after="120"/>
        <w:jc w:val="both"/>
        <w:rPr>
          <w:rFonts w:ascii="Bookman Old Style" w:hAnsi="Bookman Old Style"/>
        </w:rPr>
      </w:pPr>
      <w:r w:rsidRPr="00634D88">
        <w:rPr>
          <w:rFonts w:ascii="Bookman Old Style" w:hAnsi="Bookman Old Style"/>
          <w:b/>
          <w:bCs/>
        </w:rPr>
        <w:t>gli interventi di rilancio debbano vedere il Comune quale attore protagonista che</w:t>
      </w:r>
      <w:r w:rsidRPr="008171D1">
        <w:rPr>
          <w:rFonts w:ascii="Bookman Old Style" w:hAnsi="Bookman Old Style"/>
        </w:rPr>
        <w:t xml:space="preserve">, in ottica di sistema, </w:t>
      </w:r>
      <w:r w:rsidRPr="00634D88">
        <w:rPr>
          <w:rFonts w:ascii="Bookman Old Style" w:hAnsi="Bookman Old Style"/>
          <w:b/>
          <w:bCs/>
        </w:rPr>
        <w:t>collabori con le realtà produttive per mettere in campo interventi di innovazione</w:t>
      </w:r>
      <w:r w:rsidRPr="008171D1">
        <w:rPr>
          <w:rFonts w:ascii="Bookman Old Style" w:hAnsi="Bookman Old Style"/>
        </w:rPr>
        <w:t xml:space="preserve"> che sappiamo tradurre nelle singole realtà locali le traiettorie evolutive</w:t>
      </w:r>
      <w:r w:rsidR="008171D1">
        <w:rPr>
          <w:rFonts w:ascii="Bookman Old Style" w:hAnsi="Bookman Old Style"/>
        </w:rPr>
        <w:t xml:space="preserve"> generali;</w:t>
      </w:r>
    </w:p>
    <w:p w:rsidR="00C56A9B" w:rsidRPr="008171D1" w:rsidRDefault="008171D1" w:rsidP="008171D1">
      <w:pPr>
        <w:pStyle w:val="Paragrafoelenco"/>
        <w:numPr>
          <w:ilvl w:val="0"/>
          <w:numId w:val="1"/>
        </w:numPr>
        <w:spacing w:after="120"/>
        <w:jc w:val="both"/>
        <w:rPr>
          <w:rFonts w:ascii="Bookman Old Style" w:hAnsi="Bookman Old Style"/>
        </w:rPr>
      </w:pPr>
      <w:r>
        <w:rPr>
          <w:rFonts w:ascii="Bookman Old Style" w:hAnsi="Bookman Old Style"/>
        </w:rPr>
        <w:t xml:space="preserve">si proceda progressivamente alla </w:t>
      </w:r>
      <w:r w:rsidRPr="00634D88">
        <w:rPr>
          <w:rFonts w:ascii="Bookman Old Style" w:hAnsi="Bookman Old Style"/>
          <w:b/>
          <w:bCs/>
        </w:rPr>
        <w:t>definizione di politiche di sviluppo che, a livello nazionale e regionale, superino la logica degli interventi e delle risorse settoriali</w:t>
      </w:r>
      <w:r>
        <w:rPr>
          <w:rFonts w:ascii="Bookman Old Style" w:hAnsi="Bookman Old Style"/>
        </w:rPr>
        <w:t xml:space="preserve">, al fine di accompagnare visioni strategiche che a livello locale e soprattutto nei Comuni di maggiori dimensione sono già diventate </w:t>
      </w:r>
      <w:r w:rsidRPr="00D600B7">
        <w:rPr>
          <w:rFonts w:ascii="Bookman Old Style" w:hAnsi="Bookman Old Style"/>
          <w:i/>
        </w:rPr>
        <w:t>modus operandi</w:t>
      </w:r>
      <w:r>
        <w:rPr>
          <w:rFonts w:ascii="Bookman Old Style" w:hAnsi="Bookman Old Style"/>
        </w:rPr>
        <w:t xml:space="preserve"> stabile, e la cui attuazione spesso si scontra con la mancanza di coordinamento degli strumenti attivati dagli altri livelli di Governo.</w:t>
      </w:r>
      <w:r w:rsidR="00C56A9B" w:rsidRPr="008171D1">
        <w:rPr>
          <w:rFonts w:ascii="Bookman Old Style" w:hAnsi="Bookman Old Style"/>
        </w:rPr>
        <w:t xml:space="preserve">  </w:t>
      </w:r>
    </w:p>
    <w:p w:rsidR="00732F3A" w:rsidRDefault="00732F3A" w:rsidP="0061446D">
      <w:pPr>
        <w:spacing w:after="120"/>
        <w:jc w:val="both"/>
        <w:rPr>
          <w:rFonts w:ascii="Bookman Old Style" w:hAnsi="Bookman Old Style"/>
        </w:rPr>
      </w:pPr>
      <w:r>
        <w:rPr>
          <w:rFonts w:ascii="Bookman Old Style" w:hAnsi="Bookman Old Style"/>
        </w:rPr>
        <w:t xml:space="preserve">Presupposto ormai imprescindibile per garantire condizioni minime di rilancio è, inoltre, quello della disponibilità di infrastrutture digitali performanti e fruibili in ogni parte del territorio. Per infrastruttura digitale non si intende solo la disponibilità di banda ultra larga – per la cui presenza anche nelle c.d. “aree bianche” a fallimento di mercato </w:t>
      </w:r>
      <w:r>
        <w:rPr>
          <w:rFonts w:ascii="Bookman Old Style" w:hAnsi="Bookman Old Style"/>
        </w:rPr>
        <w:lastRenderedPageBreak/>
        <w:t>preoccupano molto i ritardi</w:t>
      </w:r>
      <w:r w:rsidR="00EA3261" w:rsidRPr="00EA3261">
        <w:rPr>
          <w:rFonts w:ascii="Bookman Old Style" w:hAnsi="Bookman Old Style"/>
        </w:rPr>
        <w:t xml:space="preserve"> </w:t>
      </w:r>
      <w:r w:rsidR="00EA3261">
        <w:rPr>
          <w:rFonts w:ascii="Bookman Old Style" w:hAnsi="Bookman Old Style"/>
        </w:rPr>
        <w:t>del Piano BUL</w:t>
      </w:r>
      <w:r>
        <w:rPr>
          <w:rFonts w:ascii="Bookman Old Style" w:hAnsi="Bookman Old Style"/>
        </w:rPr>
        <w:t>, stimati in due anni rispetto al cronoprogramma originario</w:t>
      </w:r>
      <w:r w:rsidR="00EA3261">
        <w:rPr>
          <w:rFonts w:ascii="Bookman Old Style" w:hAnsi="Bookman Old Style"/>
        </w:rPr>
        <w:t xml:space="preserve"> </w:t>
      </w:r>
      <w:r>
        <w:rPr>
          <w:rFonts w:ascii="Bookman Old Style" w:hAnsi="Bookman Old Style"/>
        </w:rPr>
        <w:t xml:space="preserve">– ma anche quella di </w:t>
      </w:r>
      <w:r w:rsidR="00EA3261">
        <w:rPr>
          <w:rFonts w:ascii="Bookman Old Style" w:hAnsi="Bookman Old Style"/>
        </w:rPr>
        <w:t xml:space="preserve">sistemi di integrazione di </w:t>
      </w:r>
      <w:r>
        <w:rPr>
          <w:rFonts w:ascii="Bookman Old Style" w:hAnsi="Bookman Old Style"/>
        </w:rPr>
        <w:t>big data sui principali fenomeni territoriali (mobilità, inquinamento</w:t>
      </w:r>
      <w:r w:rsidR="00332688">
        <w:rPr>
          <w:rFonts w:ascii="Bookman Old Style" w:hAnsi="Bookman Old Style"/>
        </w:rPr>
        <w:t xml:space="preserve">, dinamiche delle imprese, …) </w:t>
      </w:r>
      <w:r w:rsidR="00EA3261">
        <w:rPr>
          <w:rFonts w:ascii="Bookman Old Style" w:hAnsi="Bookman Old Style"/>
        </w:rPr>
        <w:t xml:space="preserve">a disposizione degli enti territoriali che </w:t>
      </w:r>
      <w:r w:rsidR="00332688">
        <w:rPr>
          <w:rFonts w:ascii="Bookman Old Style" w:hAnsi="Bookman Old Style"/>
        </w:rPr>
        <w:t>poss</w:t>
      </w:r>
      <w:r w:rsidR="00EA3261">
        <w:rPr>
          <w:rFonts w:ascii="Bookman Old Style" w:hAnsi="Bookman Old Style"/>
        </w:rPr>
        <w:t>a</w:t>
      </w:r>
      <w:r w:rsidR="00332688">
        <w:rPr>
          <w:rFonts w:ascii="Bookman Old Style" w:hAnsi="Bookman Old Style"/>
        </w:rPr>
        <w:t>no orientar</w:t>
      </w:r>
      <w:r w:rsidR="00EA3261">
        <w:rPr>
          <w:rFonts w:ascii="Bookman Old Style" w:hAnsi="Bookman Old Style"/>
        </w:rPr>
        <w:t>n</w:t>
      </w:r>
      <w:r w:rsidR="00332688">
        <w:rPr>
          <w:rFonts w:ascii="Bookman Old Style" w:hAnsi="Bookman Old Style"/>
        </w:rPr>
        <w:t>e in maniera informata (</w:t>
      </w:r>
      <w:r w:rsidR="00332688" w:rsidRPr="00332688">
        <w:rPr>
          <w:rFonts w:ascii="Bookman Old Style" w:hAnsi="Bookman Old Style"/>
          <w:i/>
          <w:iCs/>
        </w:rPr>
        <w:t>data-</w:t>
      </w:r>
      <w:proofErr w:type="spellStart"/>
      <w:r w:rsidR="00332688" w:rsidRPr="00332688">
        <w:rPr>
          <w:rFonts w:ascii="Bookman Old Style" w:hAnsi="Bookman Old Style"/>
          <w:i/>
          <w:iCs/>
        </w:rPr>
        <w:t>driven</w:t>
      </w:r>
      <w:proofErr w:type="spellEnd"/>
      <w:r w:rsidR="00332688">
        <w:rPr>
          <w:rFonts w:ascii="Bookman Old Style" w:hAnsi="Bookman Old Style"/>
        </w:rPr>
        <w:t>) le scelte.</w:t>
      </w:r>
    </w:p>
    <w:p w:rsidR="00283B37" w:rsidRDefault="00BD2E9A" w:rsidP="0061446D">
      <w:pPr>
        <w:spacing w:after="120"/>
        <w:jc w:val="both"/>
        <w:rPr>
          <w:rFonts w:ascii="Bookman Old Style" w:hAnsi="Bookman Old Style"/>
        </w:rPr>
      </w:pPr>
      <w:r>
        <w:rPr>
          <w:rFonts w:ascii="Bookman Old Style" w:hAnsi="Bookman Old Style"/>
        </w:rPr>
        <w:t>E’ sulla base di queste considerazioni che</w:t>
      </w:r>
      <w:r w:rsidR="008171D1">
        <w:rPr>
          <w:rFonts w:ascii="Bookman Old Style" w:hAnsi="Bookman Old Style"/>
        </w:rPr>
        <w:t>,</w:t>
      </w:r>
      <w:r>
        <w:rPr>
          <w:rFonts w:ascii="Bookman Old Style" w:hAnsi="Bookman Old Style"/>
        </w:rPr>
        <w:t xml:space="preserve"> di seguito</w:t>
      </w:r>
      <w:r w:rsidR="008171D1">
        <w:rPr>
          <w:rFonts w:ascii="Bookman Old Style" w:hAnsi="Bookman Old Style"/>
        </w:rPr>
        <w:t>,</w:t>
      </w:r>
      <w:r>
        <w:rPr>
          <w:rFonts w:ascii="Bookman Old Style" w:hAnsi="Bookman Old Style"/>
        </w:rPr>
        <w:t xml:space="preserve"> vengono proposte alcune </w:t>
      </w:r>
      <w:r w:rsidR="00D600B7">
        <w:rPr>
          <w:rFonts w:ascii="Bookman Old Style" w:hAnsi="Bookman Old Style"/>
        </w:rPr>
        <w:t xml:space="preserve">prime </w:t>
      </w:r>
      <w:r w:rsidR="00524F9C">
        <w:rPr>
          <w:rFonts w:ascii="Bookman Old Style" w:hAnsi="Bookman Old Style"/>
        </w:rPr>
        <w:t xml:space="preserve">linee di intervento </w:t>
      </w:r>
      <w:r>
        <w:rPr>
          <w:rFonts w:ascii="Bookman Old Style" w:hAnsi="Bookman Old Style"/>
        </w:rPr>
        <w:t xml:space="preserve">sulle quali l’ANCI ritiene utile attivare progettualità e </w:t>
      </w:r>
      <w:r w:rsidR="008171D1">
        <w:rPr>
          <w:rFonts w:ascii="Bookman Old Style" w:hAnsi="Bookman Old Style"/>
        </w:rPr>
        <w:t>risorse.</w:t>
      </w:r>
    </w:p>
    <w:p w:rsidR="008171D1" w:rsidRDefault="008171D1" w:rsidP="0061446D">
      <w:pPr>
        <w:spacing w:after="120"/>
        <w:jc w:val="both"/>
        <w:rPr>
          <w:rFonts w:ascii="Bookman Old Style" w:hAnsi="Bookman Old Style"/>
        </w:rPr>
      </w:pPr>
    </w:p>
    <w:p w:rsidR="005E6EA1" w:rsidRPr="000E5787" w:rsidRDefault="005E6EA1" w:rsidP="000E5787">
      <w:pPr>
        <w:pStyle w:val="Titolo2"/>
        <w:numPr>
          <w:ilvl w:val="0"/>
          <w:numId w:val="13"/>
        </w:numPr>
        <w:rPr>
          <w:b/>
          <w:bCs/>
          <w:sz w:val="28"/>
          <w:szCs w:val="28"/>
        </w:rPr>
      </w:pPr>
      <w:bookmarkStart w:id="3" w:name="_Toc42609811"/>
      <w:r w:rsidRPr="000E5787">
        <w:rPr>
          <w:b/>
          <w:bCs/>
          <w:sz w:val="28"/>
          <w:szCs w:val="28"/>
        </w:rPr>
        <w:t>Il turismo</w:t>
      </w:r>
      <w:bookmarkEnd w:id="3"/>
    </w:p>
    <w:p w:rsidR="005E6EA1" w:rsidRDefault="005E6EA1" w:rsidP="00F93576">
      <w:pPr>
        <w:shd w:val="clear" w:color="auto" w:fill="FFFFFF"/>
        <w:spacing w:after="120"/>
        <w:jc w:val="both"/>
        <w:rPr>
          <w:rFonts w:ascii="Bookman Old Style" w:hAnsi="Bookman Old Style"/>
        </w:rPr>
      </w:pPr>
      <w:r>
        <w:rPr>
          <w:rFonts w:ascii="Bookman Old Style" w:hAnsi="Bookman Old Style"/>
        </w:rPr>
        <w:t>La</w:t>
      </w:r>
      <w:r w:rsidRPr="003C01D6">
        <w:rPr>
          <w:rFonts w:ascii="Bookman Old Style" w:hAnsi="Bookman Old Style"/>
        </w:rPr>
        <w:t xml:space="preserve"> strategia</w:t>
      </w:r>
      <w:r>
        <w:rPr>
          <w:rFonts w:ascii="Bookman Old Style" w:hAnsi="Bookman Old Style"/>
        </w:rPr>
        <w:t xml:space="preserve"> di rilancio del comparto, sopra delineata, </w:t>
      </w:r>
      <w:r w:rsidRPr="003C01D6">
        <w:rPr>
          <w:rFonts w:ascii="Bookman Old Style" w:hAnsi="Bookman Old Style"/>
        </w:rPr>
        <w:t xml:space="preserve">per essere efficace dovrà riuscire a coinvolgere tutte </w:t>
      </w:r>
      <w:r>
        <w:rPr>
          <w:rFonts w:ascii="Bookman Old Style" w:hAnsi="Bookman Old Style"/>
        </w:rPr>
        <w:t xml:space="preserve">le </w:t>
      </w:r>
      <w:r w:rsidRPr="003C01D6">
        <w:rPr>
          <w:rFonts w:ascii="Bookman Old Style" w:hAnsi="Bookman Old Style"/>
        </w:rPr>
        <w:t>componenti - istituzionali e non - che operano nel campo del turismo. Crediamo che i Comuni in questa fase possano svolgere un ruolo importante per implementare, nella maniera più adeguata, tale strategia a livello locale.</w:t>
      </w:r>
      <w:r>
        <w:rPr>
          <w:rFonts w:ascii="Bookman Old Style" w:hAnsi="Bookman Old Style"/>
        </w:rPr>
        <w:t xml:space="preserve"> A tal fine, l’ANCI avanza </w:t>
      </w:r>
      <w:r w:rsidR="00720A60">
        <w:rPr>
          <w:rFonts w:ascii="Bookman Old Style" w:hAnsi="Bookman Old Style"/>
        </w:rPr>
        <w:t>sette</w:t>
      </w:r>
      <w:r>
        <w:rPr>
          <w:rFonts w:ascii="Bookman Old Style" w:hAnsi="Bookman Old Style"/>
        </w:rPr>
        <w:t xml:space="preserve"> specifiche proposte: </w:t>
      </w:r>
    </w:p>
    <w:p w:rsidR="00681242" w:rsidRPr="00F93576" w:rsidRDefault="00681242" w:rsidP="00F93576">
      <w:pPr>
        <w:shd w:val="clear" w:color="auto" w:fill="FFFFFF"/>
        <w:spacing w:after="120"/>
        <w:jc w:val="both"/>
        <w:rPr>
          <w:rFonts w:ascii="Bookman Old Style" w:hAnsi="Bookman Old Style"/>
        </w:rPr>
      </w:pPr>
      <w:r w:rsidRPr="003C01D6">
        <w:rPr>
          <w:rFonts w:ascii="Bookman Old Style" w:hAnsi="Bookman Old Style"/>
        </w:rPr>
        <w:t xml:space="preserve">1 </w:t>
      </w:r>
      <w:r>
        <w:rPr>
          <w:rFonts w:ascii="Bookman Old Style" w:hAnsi="Bookman Old Style"/>
        </w:rPr>
        <w:t>–</w:t>
      </w:r>
      <w:r w:rsidRPr="003C01D6">
        <w:rPr>
          <w:rFonts w:ascii="Bookman Old Style" w:hAnsi="Bookman Old Style"/>
        </w:rPr>
        <w:t xml:space="preserve"> </w:t>
      </w:r>
      <w:r>
        <w:rPr>
          <w:rFonts w:ascii="Bookman Old Style" w:hAnsi="Bookman Old Style"/>
          <w:b/>
          <w:bCs/>
        </w:rPr>
        <w:t>Istituzione delle zone rosse economiche</w:t>
      </w:r>
      <w:r w:rsidRPr="003C01D6">
        <w:rPr>
          <w:rFonts w:ascii="Bookman Old Style" w:hAnsi="Bookman Old Style"/>
        </w:rPr>
        <w:t xml:space="preserve">. </w:t>
      </w:r>
      <w:r w:rsidRPr="00681242">
        <w:rPr>
          <w:rFonts w:ascii="Bookman Old Style" w:hAnsi="Bookman Old Style"/>
        </w:rPr>
        <w:t>In con</w:t>
      </w:r>
      <w:r>
        <w:rPr>
          <w:rFonts w:ascii="Bookman Old Style" w:hAnsi="Bookman Old Style"/>
        </w:rPr>
        <w:t>siderazione del fatto che ogni ente l</w:t>
      </w:r>
      <w:r w:rsidRPr="00681242">
        <w:rPr>
          <w:rFonts w:ascii="Bookman Old Style" w:hAnsi="Bookman Old Style"/>
        </w:rPr>
        <w:t xml:space="preserve">ocale trae le proprie risorse dal sistema socioeconomico che amministra, orientando i propri servizi e  la propria imposizione in virtù delle caratteristiche della propria comunità, appare evidente che </w:t>
      </w:r>
      <w:r w:rsidRPr="00681242">
        <w:rPr>
          <w:rFonts w:ascii="Bookman Old Style" w:hAnsi="Bookman Old Style"/>
          <w:u w:val="single"/>
        </w:rPr>
        <w:t>i Comuni la cui economia è fortemente, o addirittura prioritariamente, incardinata sul settore turistico</w:t>
      </w:r>
      <w:r w:rsidRPr="00681242">
        <w:rPr>
          <w:rFonts w:ascii="Bookman Old Style" w:hAnsi="Bookman Old Style"/>
        </w:rPr>
        <w:t xml:space="preserve"> (che può rappresentare anche il 30,40,60,90% del PIL locale) </w:t>
      </w:r>
      <w:r w:rsidRPr="00681242">
        <w:rPr>
          <w:rFonts w:ascii="Bookman Old Style" w:hAnsi="Bookman Old Style"/>
          <w:u w:val="single"/>
        </w:rPr>
        <w:t>si trovano in una situazione di fatto di default di bilancio</w:t>
      </w:r>
      <w:r w:rsidRPr="00681242">
        <w:rPr>
          <w:rFonts w:ascii="Bookman Old Style" w:hAnsi="Bookman Old Style"/>
        </w:rPr>
        <w:t xml:space="preserve">, in considerazione della comprovata riduzione di capacità fiscale. Ora queste realtà si troveranno senza risorse a dover garantire i servizi standard e, al tempo stesso, a fronteggiare le nuove fragilità economiche. </w:t>
      </w:r>
      <w:r>
        <w:rPr>
          <w:rFonts w:ascii="Bookman Old Style" w:hAnsi="Bookman Old Style"/>
        </w:rPr>
        <w:t xml:space="preserve">Si propone dunque l’inserimento di una norma (si veda il dettaglio nell’Allegato 1) all’interno del DL 34/2020 che </w:t>
      </w:r>
      <w:r w:rsidRPr="00681242">
        <w:rPr>
          <w:rFonts w:ascii="Bookman Old Style" w:hAnsi="Bookman Old Style"/>
        </w:rPr>
        <w:t xml:space="preserve">mira a mitigare </w:t>
      </w:r>
      <w:r>
        <w:rPr>
          <w:rFonts w:ascii="Bookman Old Style" w:hAnsi="Bookman Old Style"/>
        </w:rPr>
        <w:t>gli</w:t>
      </w:r>
      <w:r w:rsidRPr="00681242">
        <w:rPr>
          <w:rFonts w:ascii="Bookman Old Style" w:hAnsi="Bookman Old Style"/>
        </w:rPr>
        <w:t xml:space="preserve"> effetti negativi sui bilanci di tali realtà locali istituendo </w:t>
      </w:r>
      <w:r w:rsidRPr="00681242">
        <w:rPr>
          <w:rFonts w:ascii="Bookman Old Style" w:hAnsi="Bookman Old Style"/>
          <w:u w:val="single"/>
        </w:rPr>
        <w:t>zone rosse economiche nei Comuni ad alta vocazione turistica ed un fondo di 150 milioni</w:t>
      </w:r>
      <w:r>
        <w:rPr>
          <w:rFonts w:ascii="Bookman Old Style" w:hAnsi="Bookman Old Style"/>
        </w:rPr>
        <w:t xml:space="preserve"> di euro</w:t>
      </w:r>
      <w:r w:rsidRPr="00681242">
        <w:rPr>
          <w:rFonts w:ascii="Bookman Old Style" w:hAnsi="Bookman Old Style"/>
        </w:rPr>
        <w:t xml:space="preserve"> che andrà distribuito </w:t>
      </w:r>
      <w:r>
        <w:rPr>
          <w:rFonts w:ascii="Bookman Old Style" w:hAnsi="Bookman Old Style"/>
        </w:rPr>
        <w:t xml:space="preserve">entro </w:t>
      </w:r>
      <w:r w:rsidRPr="00681242">
        <w:rPr>
          <w:rFonts w:ascii="Bookman Old Style" w:hAnsi="Bookman Old Style"/>
        </w:rPr>
        <w:t xml:space="preserve">15 giorni </w:t>
      </w:r>
      <w:r>
        <w:rPr>
          <w:rFonts w:ascii="Bookman Old Style" w:hAnsi="Bookman Old Style"/>
        </w:rPr>
        <w:t>dal</w:t>
      </w:r>
      <w:r w:rsidRPr="00681242">
        <w:rPr>
          <w:rFonts w:ascii="Bookman Old Style" w:hAnsi="Bookman Old Style"/>
        </w:rPr>
        <w:t xml:space="preserve">l’entrata in vigore della legge di conversione del decreto legge. </w:t>
      </w:r>
    </w:p>
    <w:p w:rsidR="005E6EA1" w:rsidRPr="003C01D6" w:rsidRDefault="00681242" w:rsidP="005E6EA1">
      <w:pPr>
        <w:jc w:val="both"/>
        <w:rPr>
          <w:rFonts w:ascii="Bookman Old Style" w:hAnsi="Bookman Old Style"/>
        </w:rPr>
      </w:pPr>
      <w:r>
        <w:rPr>
          <w:rFonts w:ascii="Bookman Old Style" w:hAnsi="Bookman Old Style"/>
        </w:rPr>
        <w:t>2</w:t>
      </w:r>
      <w:r w:rsidR="005E6EA1" w:rsidRPr="003C01D6">
        <w:rPr>
          <w:rFonts w:ascii="Bookman Old Style" w:hAnsi="Bookman Old Style"/>
        </w:rPr>
        <w:t xml:space="preserve"> - </w:t>
      </w:r>
      <w:r w:rsidR="005E6EA1" w:rsidRPr="003C01D6">
        <w:rPr>
          <w:rFonts w:ascii="Bookman Old Style" w:hAnsi="Bookman Old Style"/>
          <w:b/>
          <w:bCs/>
        </w:rPr>
        <w:t>Tutela delle imprese e dei lavoratori autonomi della filiera turistica</w:t>
      </w:r>
      <w:r w:rsidR="005E6EA1" w:rsidRPr="003C01D6">
        <w:rPr>
          <w:rFonts w:ascii="Bookman Old Style" w:hAnsi="Bookman Old Style"/>
        </w:rPr>
        <w:t xml:space="preserve">. In primo luogo chiediamo </w:t>
      </w:r>
      <w:r w:rsidR="005E6EA1" w:rsidRPr="00720A60">
        <w:rPr>
          <w:rFonts w:ascii="Bookman Old Style" w:hAnsi="Bookman Old Style"/>
          <w:u w:val="single"/>
        </w:rPr>
        <w:t>l’estensione degli ammortizzatori sociali già in campo per un periodo corrispondente alla durata della crisi</w:t>
      </w:r>
      <w:r w:rsidR="005E6EA1" w:rsidRPr="003C01D6">
        <w:rPr>
          <w:rFonts w:ascii="Bookman Old Style" w:hAnsi="Bookman Old Style"/>
        </w:rPr>
        <w:t xml:space="preserve">, ribadendo che quello del turismo è il settore sul quale i suoi effetti negativi sono maggiormente impattanti e duraturi. Riteniamo, inoltre, che il Governo debba attivare un </w:t>
      </w:r>
      <w:r w:rsidR="005E6EA1" w:rsidRPr="00720A60">
        <w:rPr>
          <w:rFonts w:ascii="Bookman Old Style" w:hAnsi="Bookman Old Style"/>
          <w:u w:val="single"/>
        </w:rPr>
        <w:t>sostegno di medio periodo a favore delle imprese del settore e delle professioni turistiche individuate dalla legislazione nazionale e regionale vigente</w:t>
      </w:r>
      <w:r w:rsidR="005E6EA1" w:rsidRPr="003C01D6">
        <w:rPr>
          <w:rFonts w:ascii="Bookman Old Style" w:hAnsi="Bookman Old Style"/>
        </w:rPr>
        <w:t xml:space="preserve"> (quali guide turistiche, accompagnatori, animatori turistici, bagnini, guide naturalistiche, agenzie di viaggio, scuole di italiano per stranieri, cooperative, ecc.) e di tutte quelle professioni a carattere stagionale. Un’attenzione massima riteniamo vada rivolta anche alle piccole imprese artigiane e a tutte le professioni specificatamente legate alle tipicità territoriali che rendono eccezionale e unico il nostro Paese e che vivono, anch’esse, dell’indotto economico legato ai flussi turistici. A queste imprese andranno dedicate </w:t>
      </w:r>
      <w:r w:rsidR="005E6EA1" w:rsidRPr="00720A60">
        <w:rPr>
          <w:rFonts w:ascii="Bookman Old Style" w:hAnsi="Bookman Old Style"/>
          <w:u w:val="single"/>
        </w:rPr>
        <w:t>apposite misure, in particolare di defiscalizzazione, decontribuzione e accesso alla necessaria liquidità</w:t>
      </w:r>
      <w:r w:rsidR="005E6EA1" w:rsidRPr="003C01D6">
        <w:rPr>
          <w:rFonts w:ascii="Bookman Old Style" w:hAnsi="Bookman Old Style"/>
        </w:rPr>
        <w:t>. Occorrerà, infine, valutare la semplificazione della normativa sul lavoro per le strutture ricettive e per le attività dell’intera filiera turistica. Sarebbe, inoltre, auspicabile lasciare ai Comuni la possibilità di affidare alle attività di ristorazione delle aree pubbliche a costo zero al fine di mantenere inalterati i posti a sedere di tali attività.</w:t>
      </w:r>
    </w:p>
    <w:p w:rsidR="005E6EA1" w:rsidRPr="003C01D6" w:rsidRDefault="00681242" w:rsidP="005E6EA1">
      <w:pPr>
        <w:jc w:val="both"/>
        <w:rPr>
          <w:rFonts w:ascii="Bookman Old Style" w:hAnsi="Bookman Old Style"/>
        </w:rPr>
      </w:pPr>
      <w:r>
        <w:rPr>
          <w:rFonts w:ascii="Bookman Old Style" w:hAnsi="Bookman Old Style"/>
        </w:rPr>
        <w:lastRenderedPageBreak/>
        <w:t>3</w:t>
      </w:r>
      <w:r w:rsidR="005E6EA1" w:rsidRPr="003C01D6">
        <w:rPr>
          <w:rFonts w:ascii="Bookman Old Style" w:hAnsi="Bookman Old Style"/>
        </w:rPr>
        <w:t xml:space="preserve"> - </w:t>
      </w:r>
      <w:r w:rsidR="005E6EA1" w:rsidRPr="003C01D6">
        <w:rPr>
          <w:rFonts w:ascii="Bookman Old Style" w:hAnsi="Bookman Old Style"/>
          <w:b/>
          <w:bCs/>
        </w:rPr>
        <w:t>Rilancio del brand Italia e redazione di un Piano di comunicazione di area vasta</w:t>
      </w:r>
      <w:r w:rsidR="005E6EA1" w:rsidRPr="003C01D6">
        <w:rPr>
          <w:rFonts w:ascii="Bookman Old Style" w:hAnsi="Bookman Old Style"/>
        </w:rPr>
        <w:t xml:space="preserve">. Riteniamo essenziale lavorare in sintonia ad un </w:t>
      </w:r>
      <w:r w:rsidR="005E6EA1" w:rsidRPr="00720A60">
        <w:rPr>
          <w:rFonts w:ascii="Bookman Old Style" w:hAnsi="Bookman Old Style"/>
          <w:u w:val="single"/>
        </w:rPr>
        <w:t>piano di comunicazione unitario ed organico dell’intero “Sistema Paese”,</w:t>
      </w:r>
      <w:r w:rsidR="005E6EA1" w:rsidRPr="003C01D6">
        <w:rPr>
          <w:rFonts w:ascii="Bookman Old Style" w:hAnsi="Bookman Old Style"/>
        </w:rPr>
        <w:t xml:space="preserve"> che coinvolga tutte le Regioni e i soggetti territoriali e che sia incentrato sul ruolo primario dell’ENIT. Concordiamo tutti, a diversi livelli locali e regionali, che </w:t>
      </w:r>
      <w:r w:rsidR="005E6EA1" w:rsidRPr="003C01D6">
        <w:rPr>
          <w:rFonts w:ascii="Bookman Old Style" w:hAnsi="Bookman Old Style"/>
          <w:i/>
        </w:rPr>
        <w:t>in primis</w:t>
      </w:r>
      <w:r w:rsidR="005E6EA1" w:rsidRPr="003C01D6">
        <w:rPr>
          <w:rFonts w:ascii="Bookman Old Style" w:hAnsi="Bookman Old Style"/>
        </w:rPr>
        <w:t xml:space="preserve"> si debba </w:t>
      </w:r>
      <w:r w:rsidR="005E6EA1" w:rsidRPr="00720A60">
        <w:rPr>
          <w:rFonts w:ascii="Bookman Old Style" w:hAnsi="Bookman Old Style"/>
          <w:u w:val="single"/>
        </w:rPr>
        <w:t>puntare sul turismo di prossimità e nazionale</w:t>
      </w:r>
      <w:r w:rsidR="005E6EA1" w:rsidRPr="003C01D6">
        <w:rPr>
          <w:rFonts w:ascii="Bookman Old Style" w:hAnsi="Bookman Old Style"/>
        </w:rPr>
        <w:t xml:space="preserve">, che negli ultimi anni aveva registrato un trend di crescita, e che adesso sarà ancor più importante spingere anche solo come forma di sostegno solidaristica per il rilancio di un Paese che nel momento del bisogno dimostra di saper fare sistema. Potrebbe essere, inoltre, utile in prospettiva la </w:t>
      </w:r>
      <w:r w:rsidR="005E6EA1" w:rsidRPr="00720A60">
        <w:rPr>
          <w:rFonts w:ascii="Bookman Old Style" w:hAnsi="Bookman Old Style"/>
          <w:u w:val="single"/>
        </w:rPr>
        <w:t xml:space="preserve">stipula di accordi internazionali </w:t>
      </w:r>
      <w:r w:rsidR="005E6EA1" w:rsidRPr="003C01D6">
        <w:rPr>
          <w:rFonts w:ascii="Bookman Old Style" w:hAnsi="Bookman Old Style"/>
        </w:rPr>
        <w:t xml:space="preserve">(in modo particolare con i paesi del nord Europa) </w:t>
      </w:r>
      <w:r w:rsidR="005E6EA1" w:rsidRPr="00720A60">
        <w:rPr>
          <w:rFonts w:ascii="Bookman Old Style" w:hAnsi="Bookman Old Style"/>
          <w:u w:val="single"/>
        </w:rPr>
        <w:t xml:space="preserve">per promuovere corridoi turistici sicuri per turisti stranieri </w:t>
      </w:r>
      <w:r w:rsidR="005E6EA1" w:rsidRPr="003C01D6">
        <w:rPr>
          <w:rFonts w:ascii="Bookman Old Style" w:hAnsi="Bookman Old Style"/>
        </w:rPr>
        <w:t>sull’esempio degli accordi che la Croazia ha firmato con la Germania. In molte località italiane il turismo straniero rappresenta la parte prevalente delle presenze ed è, quindi, importante non rinunciare definitivamente a questi turisti per evitare il collasso del sistema.</w:t>
      </w:r>
    </w:p>
    <w:p w:rsidR="005E6EA1" w:rsidRPr="003C01D6" w:rsidRDefault="00681242" w:rsidP="005E6EA1">
      <w:pPr>
        <w:jc w:val="both"/>
        <w:rPr>
          <w:rFonts w:ascii="Bookman Old Style" w:hAnsi="Bookman Old Style"/>
        </w:rPr>
      </w:pPr>
      <w:r>
        <w:rPr>
          <w:rFonts w:ascii="Bookman Old Style" w:hAnsi="Bookman Old Style"/>
        </w:rPr>
        <w:t>5</w:t>
      </w:r>
      <w:r w:rsidR="005E6EA1" w:rsidRPr="003C01D6">
        <w:rPr>
          <w:rFonts w:ascii="Bookman Old Style" w:hAnsi="Bookman Old Style"/>
        </w:rPr>
        <w:t xml:space="preserve"> – </w:t>
      </w:r>
      <w:r w:rsidR="005E6EA1" w:rsidRPr="003C01D6">
        <w:rPr>
          <w:rFonts w:ascii="Bookman Old Style" w:hAnsi="Bookman Old Style"/>
          <w:b/>
          <w:bCs/>
        </w:rPr>
        <w:t>Permettere la fruibilità delle spiagge libere e dei luoghi della cultura e dello spettacolo, in piena sicurezza</w:t>
      </w:r>
      <w:r w:rsidR="005E6EA1" w:rsidRPr="003C01D6">
        <w:rPr>
          <w:rFonts w:ascii="Bookman Old Style" w:hAnsi="Bookman Old Style"/>
        </w:rPr>
        <w:t xml:space="preserve">. I musei e gli altri luoghi della cultura e dello spettacolo saranno determinanti per la ripresa del turismo di prossimità e non solo. Per permettere la fruizione di questi luoghi in sicurezza, </w:t>
      </w:r>
      <w:r w:rsidR="005E6EA1" w:rsidRPr="00720A60">
        <w:rPr>
          <w:rFonts w:ascii="Bookman Old Style" w:hAnsi="Bookman Old Style"/>
          <w:u w:val="single"/>
        </w:rPr>
        <w:t>occorrerà prevedere investimenti importanti per adattare le strutture e formare il personale</w:t>
      </w:r>
      <w:r w:rsidR="005E6EA1" w:rsidRPr="003C01D6">
        <w:rPr>
          <w:rFonts w:ascii="Bookman Old Style" w:hAnsi="Bookman Old Style"/>
        </w:rPr>
        <w:t xml:space="preserve">. Chiediamo, dunque, che il Fondo </w:t>
      </w:r>
      <w:r w:rsidR="00720A60">
        <w:rPr>
          <w:rFonts w:ascii="Bookman Old Style" w:hAnsi="Bookman Old Style"/>
        </w:rPr>
        <w:t>per la copertura dell’imposta di soggiorno, aumentato come da richiesta nel capitolo precedente,</w:t>
      </w:r>
      <w:r w:rsidR="005E6EA1" w:rsidRPr="003C01D6">
        <w:rPr>
          <w:rFonts w:ascii="Bookman Old Style" w:hAnsi="Bookman Old Style"/>
        </w:rPr>
        <w:t xml:space="preserve"> possa essere utilizzato dai Comuni anche per affrontare le spese necessarie per renderli disponibili in sicurezza ai visitatori nel più breve tempo possibile. Analogamente </w:t>
      </w:r>
      <w:r w:rsidR="005E6EA1" w:rsidRPr="00720A60">
        <w:rPr>
          <w:rFonts w:ascii="Bookman Old Style" w:hAnsi="Bookman Old Style"/>
          <w:u w:val="single"/>
        </w:rPr>
        <w:t>si dovrebbe procedere per finanziare le spese che i Comuni dovranno sostenere per gestire l’accesso in sicurezza alle spiagge libere comunali</w:t>
      </w:r>
      <w:r w:rsidR="005E6EA1" w:rsidRPr="003C01D6">
        <w:rPr>
          <w:rFonts w:ascii="Bookman Old Style" w:hAnsi="Bookman Old Style"/>
        </w:rPr>
        <w:t xml:space="preserve">. A questo riguardo, non deve essere previsto alcun aggravio di responsabilità rispetto alle normative in vigore per l’uso delle aree di balneazione: la responsabilità del distanziamento è in primo luogo dei cittadini. </w:t>
      </w:r>
      <w:r w:rsidR="005E6EA1" w:rsidRPr="00720A60">
        <w:rPr>
          <w:rFonts w:ascii="Bookman Old Style" w:hAnsi="Bookman Old Style"/>
          <w:u w:val="single"/>
        </w:rPr>
        <w:t>Qualsiasi misura messa in atto dai Comuni per la eventuale fruizione in sicurezza delle spiagge non può riportare ulteriori responsabilità in capo ai sindaci</w:t>
      </w:r>
      <w:r w:rsidR="005E6EA1" w:rsidRPr="003C01D6">
        <w:rPr>
          <w:rFonts w:ascii="Bookman Old Style" w:hAnsi="Bookman Old Style"/>
        </w:rPr>
        <w:t xml:space="preserve">. Infine, sarebbe necessario un intervento normativo per consentire il </w:t>
      </w:r>
      <w:r w:rsidR="005E6EA1" w:rsidRPr="00720A60">
        <w:rPr>
          <w:rFonts w:ascii="Bookman Old Style" w:hAnsi="Bookman Old Style"/>
          <w:u w:val="single"/>
        </w:rPr>
        <w:t>superamento dei limiti di spesa del personale per potenziare, nei periodi di maggiore afflusso, i servizi rivolti ai turisti</w:t>
      </w:r>
      <w:r w:rsidR="005E6EA1" w:rsidRPr="003C01D6">
        <w:rPr>
          <w:rFonts w:ascii="Bookman Old Style" w:hAnsi="Bookman Old Style"/>
        </w:rPr>
        <w:t>, con particolare attenzione agli organici di polizia municipale, mai così importanti come nella situazione emergenziale che stiamo vivendo.</w:t>
      </w:r>
    </w:p>
    <w:p w:rsidR="005E6EA1" w:rsidRPr="003C01D6" w:rsidRDefault="00681242" w:rsidP="005E6EA1">
      <w:pPr>
        <w:jc w:val="both"/>
        <w:rPr>
          <w:rFonts w:ascii="Bookman Old Style" w:hAnsi="Bookman Old Style"/>
        </w:rPr>
      </w:pPr>
      <w:r>
        <w:rPr>
          <w:rFonts w:ascii="Bookman Old Style" w:hAnsi="Bookman Old Style"/>
        </w:rPr>
        <w:t>6</w:t>
      </w:r>
      <w:r w:rsidR="005E6EA1" w:rsidRPr="003C01D6">
        <w:rPr>
          <w:rFonts w:ascii="Bookman Old Style" w:hAnsi="Bookman Old Style"/>
        </w:rPr>
        <w:t xml:space="preserve"> - </w:t>
      </w:r>
      <w:r w:rsidR="005E6EA1" w:rsidRPr="003C01D6">
        <w:rPr>
          <w:rFonts w:ascii="Bookman Old Style" w:hAnsi="Bookman Old Style"/>
          <w:b/>
          <w:bCs/>
        </w:rPr>
        <w:t>Interventi di sviluppo economico e della qualità della filiera</w:t>
      </w:r>
      <w:r w:rsidR="005E6EA1" w:rsidRPr="003C01D6">
        <w:rPr>
          <w:rFonts w:ascii="Bookman Old Style" w:hAnsi="Bookman Old Style"/>
        </w:rPr>
        <w:t xml:space="preserve">. Nel turismo del futuro nel nostro paese, anche in virtù dei minori flussi che è lecito attendersi, occorrerà lavorare per mettere al centro il tema della qualità del turismo e del suo valore aggiunto, intesa anche come qualità del lavoro di coloro che sono impegnati in questo settore. </w:t>
      </w:r>
      <w:r w:rsidR="005E6EA1" w:rsidRPr="00FC5FEF">
        <w:rPr>
          <w:rFonts w:ascii="Bookman Old Style" w:hAnsi="Bookman Old Style"/>
          <w:u w:val="single"/>
        </w:rPr>
        <w:t>Lo sviluppo economico legato all’industria del Turismo richiederà una attenzione particolare nell’ambito delle prossime decisioni governative, e un coordinamento con tutti i Ministeri coinvolti circa gli investimenti pubblici</w:t>
      </w:r>
      <w:r w:rsidR="005E6EA1" w:rsidRPr="003C01D6">
        <w:rPr>
          <w:rFonts w:ascii="Bookman Old Style" w:hAnsi="Bookman Old Style"/>
        </w:rPr>
        <w:t xml:space="preserve">, oltre ad incentivi ed agevolazioni fiscali per i privati che investiranno su infrastrutture, tecnologia e proposte di viaggio che siano compatibili con il tema della sicurezza, argomento dominante da qui in avanti, il tutto in un’ottica di turismo davvero sostenibile. Tra le misure utili vi sarebbe la necessità di </w:t>
      </w:r>
      <w:r w:rsidR="005E6EA1" w:rsidRPr="00FC5FEF">
        <w:rPr>
          <w:rFonts w:ascii="Bookman Old Style" w:hAnsi="Bookman Old Style"/>
          <w:u w:val="single"/>
        </w:rPr>
        <w:t>incentivare un uso più ampio e diffuso delle opportunità offerte dalle tecnologie digitali e dal web, sia per le pubbliche amministrazioni che per gli operatori privat</w:t>
      </w:r>
      <w:r w:rsidR="005E6EA1" w:rsidRPr="003C01D6">
        <w:rPr>
          <w:rFonts w:ascii="Bookman Old Style" w:hAnsi="Bookman Old Style"/>
        </w:rPr>
        <w:t xml:space="preserve">i. Sarebbe, inoltre, auspicabile sostenere, anche attraverso mutui a tasso agevolato, la </w:t>
      </w:r>
      <w:r w:rsidR="005E6EA1" w:rsidRPr="00FC5FEF">
        <w:rPr>
          <w:rFonts w:ascii="Bookman Old Style" w:hAnsi="Bookman Old Style"/>
          <w:u w:val="single"/>
        </w:rPr>
        <w:t xml:space="preserve">conversione degli affitti turistici abitativi in affitti residenziali, in particolare nei centri storici, allo scopo di riequilibrare la domanda/offerta di posti letto e di facilitare la residenza </w:t>
      </w:r>
      <w:r w:rsidR="005E6EA1" w:rsidRPr="00FC5FEF">
        <w:rPr>
          <w:rFonts w:ascii="Bookman Old Style" w:hAnsi="Bookman Old Style"/>
          <w:u w:val="single"/>
        </w:rPr>
        <w:lastRenderedPageBreak/>
        <w:t>abitativa</w:t>
      </w:r>
      <w:r w:rsidR="005E6EA1" w:rsidRPr="003C01D6">
        <w:rPr>
          <w:rFonts w:ascii="Bookman Old Style" w:hAnsi="Bookman Old Style"/>
        </w:rPr>
        <w:t xml:space="preserve">. Resta infine un obiettivo fondamentale quello di </w:t>
      </w:r>
      <w:r w:rsidR="005E6EA1" w:rsidRPr="00FC5FEF">
        <w:rPr>
          <w:rFonts w:ascii="Bookman Old Style" w:hAnsi="Bookman Old Style"/>
          <w:u w:val="single"/>
        </w:rPr>
        <w:t>valorizzare</w:t>
      </w:r>
      <w:r w:rsidR="005E6EA1" w:rsidRPr="003C01D6">
        <w:rPr>
          <w:rFonts w:ascii="Bookman Old Style" w:hAnsi="Bookman Old Style"/>
        </w:rPr>
        <w:t xml:space="preserve"> non solo le grandi destinazioni turistiche o i circuiti più attrattivi, ma </w:t>
      </w:r>
      <w:r w:rsidR="005E6EA1" w:rsidRPr="00FC5FEF">
        <w:rPr>
          <w:rFonts w:ascii="Bookman Old Style" w:hAnsi="Bookman Old Style"/>
          <w:u w:val="single"/>
        </w:rPr>
        <w:t>anche l’Italia cosiddetta “minore”</w:t>
      </w:r>
      <w:r w:rsidR="005E6EA1" w:rsidRPr="003C01D6">
        <w:rPr>
          <w:rFonts w:ascii="Bookman Old Style" w:hAnsi="Bookman Old Style"/>
        </w:rPr>
        <w:t>, attraverso azioni di coordinamento, rafforzamento e promozione di specifiche filiere (ad es. i Borghi, il turismo enogastronomico, i siti culturali territoriali ecc...).</w:t>
      </w:r>
    </w:p>
    <w:p w:rsidR="005E6EA1" w:rsidRPr="003C01D6" w:rsidRDefault="00681242" w:rsidP="005E6EA1">
      <w:pPr>
        <w:jc w:val="both"/>
        <w:rPr>
          <w:rFonts w:ascii="Bookman Old Style" w:hAnsi="Bookman Old Style"/>
        </w:rPr>
      </w:pPr>
      <w:r>
        <w:rPr>
          <w:rFonts w:ascii="Bookman Old Style" w:hAnsi="Bookman Old Style"/>
        </w:rPr>
        <w:t>7</w:t>
      </w:r>
      <w:r w:rsidR="005E6EA1" w:rsidRPr="003C01D6">
        <w:rPr>
          <w:rFonts w:ascii="Bookman Old Style" w:hAnsi="Bookman Old Style"/>
        </w:rPr>
        <w:t xml:space="preserve"> - </w:t>
      </w:r>
      <w:r w:rsidR="005E6EA1" w:rsidRPr="003C01D6">
        <w:rPr>
          <w:rFonts w:ascii="Bookman Old Style" w:hAnsi="Bookman Old Style"/>
          <w:b/>
          <w:bCs/>
        </w:rPr>
        <w:t>Sostenere la domanda</w:t>
      </w:r>
      <w:r w:rsidR="005E6EA1" w:rsidRPr="003C01D6">
        <w:rPr>
          <w:rFonts w:ascii="Bookman Old Style" w:hAnsi="Bookman Old Style"/>
        </w:rPr>
        <w:t xml:space="preserve">. Riteniamo che un segnale importante di sostegno e rilancio dell’intera filiera turistica e nel contempo un messaggio positivo alla popolazione, possa derivare dalla </w:t>
      </w:r>
      <w:r w:rsidR="005E6EA1" w:rsidRPr="00681242">
        <w:rPr>
          <w:rFonts w:ascii="Bookman Old Style" w:hAnsi="Bookman Old Style"/>
          <w:bCs/>
          <w:u w:val="single"/>
        </w:rPr>
        <w:t>previsione di un bonus-vacanze per ogni cittadino</w:t>
      </w:r>
      <w:r w:rsidR="005E6EA1" w:rsidRPr="003C01D6">
        <w:rPr>
          <w:rFonts w:ascii="Bookman Old Style" w:hAnsi="Bookman Old Style"/>
        </w:rPr>
        <w:t>, in forma di detrazione fiscale o di somma da utilizzare in spese per la fruizione turistica in località italiane.</w:t>
      </w:r>
    </w:p>
    <w:p w:rsidR="005E6EA1" w:rsidRPr="003C01D6" w:rsidRDefault="00681242" w:rsidP="005E6EA1">
      <w:pPr>
        <w:jc w:val="both"/>
        <w:rPr>
          <w:rFonts w:ascii="Bookman Old Style" w:hAnsi="Bookman Old Style"/>
        </w:rPr>
      </w:pPr>
      <w:r>
        <w:rPr>
          <w:rFonts w:ascii="Bookman Old Style" w:hAnsi="Bookman Old Style"/>
        </w:rPr>
        <w:t>8</w:t>
      </w:r>
      <w:r w:rsidR="005E6EA1" w:rsidRPr="003C01D6">
        <w:rPr>
          <w:rFonts w:ascii="Bookman Old Style" w:hAnsi="Bookman Old Style"/>
        </w:rPr>
        <w:t xml:space="preserve"> - </w:t>
      </w:r>
      <w:r w:rsidR="005E6EA1" w:rsidRPr="003C01D6">
        <w:rPr>
          <w:rFonts w:ascii="Bookman Old Style" w:hAnsi="Bookman Old Style"/>
          <w:b/>
          <w:bCs/>
        </w:rPr>
        <w:t>L’idea progetto “Visita l’Italia”</w:t>
      </w:r>
      <w:r>
        <w:rPr>
          <w:rFonts w:ascii="Bookman Old Style" w:hAnsi="Bookman Old Style"/>
        </w:rPr>
        <w:t>. Nel secondo</w:t>
      </w:r>
      <w:r w:rsidR="005E6EA1" w:rsidRPr="003C01D6">
        <w:rPr>
          <w:rFonts w:ascii="Bookman Old Style" w:hAnsi="Bookman Old Style"/>
        </w:rPr>
        <w:t xml:space="preserve"> semestre del 2020 gli operatori della filiera turistica potranno sopravvivere soltanto se saranno in grado di attrarre la clientela locale. </w:t>
      </w:r>
      <w:r w:rsidR="005E6EA1" w:rsidRPr="00FC5FEF">
        <w:rPr>
          <w:rFonts w:ascii="Bookman Old Style" w:hAnsi="Bookman Old Style"/>
          <w:u w:val="single"/>
        </w:rPr>
        <w:t xml:space="preserve">La prossima estate sarà all’insegna del “turismo a chilometro zero” </w:t>
      </w:r>
      <w:r w:rsidR="005E6EA1" w:rsidRPr="003C01D6">
        <w:rPr>
          <w:rFonts w:ascii="Bookman Old Style" w:hAnsi="Bookman Old Style"/>
        </w:rPr>
        <w:t xml:space="preserve">(o quasi). La crisi del coronavirus potrà indurre gli italiani a riscoprire il Belpaese, almeno per quelli che avranno le risorse economiche per permettersi di andare in vacanza, per quelli che “non avranno paura” e per quelli che avranno ancora le ferie (molti sono già in ferie anticipate). </w:t>
      </w:r>
    </w:p>
    <w:p w:rsidR="005E6EA1" w:rsidRPr="003C01D6" w:rsidRDefault="005E6EA1" w:rsidP="005E6EA1">
      <w:pPr>
        <w:jc w:val="both"/>
        <w:rPr>
          <w:rFonts w:ascii="Bookman Old Style" w:hAnsi="Bookman Old Style"/>
        </w:rPr>
      </w:pPr>
      <w:r w:rsidRPr="003C01D6">
        <w:rPr>
          <w:rFonts w:ascii="Bookman Old Style" w:hAnsi="Bookman Old Style"/>
        </w:rPr>
        <w:t xml:space="preserve">È inoltre lecito aspettarsi che alcuni fattori ambientali svolgeranno un ruolo più importante di altri nel far sentire di nuovo a proprio agio le persone al momento di tornare nuovamente ad approcciarsi ai luoghi della cultura (ma un discorso analogo si potrebbe fare per le strutture turistiche, ad esempio per gli stabilimenti balneari). Uno su tutti la </w:t>
      </w:r>
      <w:r w:rsidRPr="00FC5FEF">
        <w:rPr>
          <w:rFonts w:ascii="Bookman Old Style" w:hAnsi="Bookman Old Style"/>
          <w:u w:val="single"/>
        </w:rPr>
        <w:t>percezione di sicurezza</w:t>
      </w:r>
      <w:r w:rsidRPr="003C01D6">
        <w:rPr>
          <w:rFonts w:ascii="Bookman Old Style" w:hAnsi="Bookman Old Style"/>
        </w:rPr>
        <w:t xml:space="preserve">. Allora va considerato che è molto probabile che le persone si sentiranno più inclini a visitare alcuni siti più di altri. Questo nuovo contesto percettivo creerà nuovi bisogni anche extra-culturali: la conoscenza delle procedure di sanificazione e di che tipo, o la presenza e disponibilità di presidi personali di protezione - gel, guanti e mascherine su tutti - diventeranno richieste ordinarie (almeno per un po’) e con queste anche la necessità di modificare le esperienze cui esse sono legate. Occorrerà, dunque, </w:t>
      </w:r>
      <w:r w:rsidRPr="00FC5FEF">
        <w:rPr>
          <w:rFonts w:ascii="Bookman Old Style" w:hAnsi="Bookman Old Style"/>
          <w:u w:val="single"/>
        </w:rPr>
        <w:t>attivare una comunicazione integrata in un processo che, almeno all’inizio, sarà dirimente nelle scelte di partecipazione dei pubblici: l’attenzione nella scelta non riguarderà più solo “il cosa”, l’oggetto culturale, ma anche “il come” entrarvi in contatto.</w:t>
      </w:r>
      <w:r w:rsidRPr="003C01D6">
        <w:rPr>
          <w:rFonts w:ascii="Bookman Old Style" w:hAnsi="Bookman Old Style"/>
        </w:rPr>
        <w:t xml:space="preserve"> </w:t>
      </w:r>
    </w:p>
    <w:p w:rsidR="005E6EA1" w:rsidRDefault="005E6EA1" w:rsidP="00F93576">
      <w:pPr>
        <w:jc w:val="both"/>
        <w:rPr>
          <w:rFonts w:ascii="Bookman Old Style" w:hAnsi="Bookman Old Style"/>
        </w:rPr>
      </w:pPr>
      <w:r w:rsidRPr="003C01D6">
        <w:rPr>
          <w:rFonts w:ascii="Bookman Old Style" w:hAnsi="Bookman Old Style"/>
        </w:rPr>
        <w:t>La percezione della sicurezza nella fruizione culturale sarà, dunque, uno degli elementi fondamentali della scelta di “consumo” turistico e culturale. La prossima estate sarebbe utile, quindi, immaginare un programma di supporto per un turismo sostenibile e sicuro, che includa, oltre alle destinazioni tradizionali, anche i piccoli comuni delle Aree Interne, di Montagna, di confine, quelli localizzati nei parchi nazionali e regionali, anche perché dobbiamo evitare di concentrare tutti i turisti nelle stesse località tradizionali.</w:t>
      </w:r>
      <w:r w:rsidR="00681242">
        <w:rPr>
          <w:rFonts w:ascii="Bookman Old Style" w:hAnsi="Bookman Old Style"/>
        </w:rPr>
        <w:t xml:space="preserve"> </w:t>
      </w:r>
      <w:r w:rsidRPr="003C01D6">
        <w:rPr>
          <w:rFonts w:ascii="Bookman Old Style" w:hAnsi="Bookman Old Style"/>
        </w:rPr>
        <w:t xml:space="preserve">Per supportare la domanda turistica e il sistema di offerta culturale l’ANCI potrebbe realizzare una </w:t>
      </w:r>
      <w:r w:rsidRPr="00681242">
        <w:rPr>
          <w:rFonts w:ascii="Bookman Old Style" w:hAnsi="Bookman Old Style"/>
          <w:u w:val="single"/>
        </w:rPr>
        <w:t>piattaforma nazionale dove mappare tutte le strutture turistiche e culturali (distinte per comune e per tipologia) che hanno la certificazione che attesta il rispetto delle indicazioni sanitarie</w:t>
      </w:r>
      <w:r w:rsidRPr="003C01D6">
        <w:rPr>
          <w:rFonts w:ascii="Bookman Old Style" w:hAnsi="Bookman Old Style"/>
        </w:rPr>
        <w:t xml:space="preserve"> che saranno emanate nel corso dei prossimi giorni, con la possibilità di approfondire il tema della “comunicazione della sicurezza” di ogni struttura a cui abbiamo accennato.</w:t>
      </w:r>
      <w:r>
        <w:rPr>
          <w:rFonts w:ascii="Bookman Old Style" w:hAnsi="Bookman Old Style"/>
        </w:rPr>
        <w:t xml:space="preserve"> </w:t>
      </w:r>
      <w:r w:rsidRPr="003C01D6">
        <w:rPr>
          <w:rFonts w:ascii="Bookman Old Style" w:hAnsi="Bookman Old Style"/>
        </w:rPr>
        <w:t>I turisti che prenoteranno attraverso la piattaforma ANCI potranno usufruire di condizioni economiche di favore, favorendo il ridimensionamento del ruolo delle OTA internazionali.</w:t>
      </w:r>
    </w:p>
    <w:p w:rsidR="00C66EA9" w:rsidRDefault="00C66EA9" w:rsidP="0061446D">
      <w:pPr>
        <w:spacing w:after="120"/>
        <w:jc w:val="both"/>
        <w:rPr>
          <w:rFonts w:ascii="Bookman Old Style" w:hAnsi="Bookman Old Style"/>
        </w:rPr>
      </w:pPr>
    </w:p>
    <w:p w:rsidR="008171D1" w:rsidRPr="000E5787" w:rsidRDefault="008171D1" w:rsidP="000E5787">
      <w:pPr>
        <w:pStyle w:val="Titolo2"/>
        <w:numPr>
          <w:ilvl w:val="0"/>
          <w:numId w:val="13"/>
        </w:numPr>
        <w:rPr>
          <w:b/>
          <w:bCs/>
          <w:sz w:val="28"/>
          <w:szCs w:val="28"/>
        </w:rPr>
      </w:pPr>
      <w:bookmarkStart w:id="4" w:name="_Toc42609812"/>
      <w:r w:rsidRPr="000E5787">
        <w:rPr>
          <w:b/>
          <w:bCs/>
          <w:sz w:val="28"/>
          <w:szCs w:val="28"/>
        </w:rPr>
        <w:lastRenderedPageBreak/>
        <w:t>Il commercio</w:t>
      </w:r>
      <w:r w:rsidR="00D600B7" w:rsidRPr="000E5787">
        <w:rPr>
          <w:b/>
          <w:bCs/>
          <w:sz w:val="28"/>
          <w:szCs w:val="28"/>
        </w:rPr>
        <w:t xml:space="preserve"> e l’artigianato</w:t>
      </w:r>
      <w:bookmarkEnd w:id="4"/>
    </w:p>
    <w:p w:rsidR="008171D1" w:rsidRDefault="008171D1" w:rsidP="008171D1">
      <w:pPr>
        <w:spacing w:after="120"/>
        <w:jc w:val="both"/>
        <w:rPr>
          <w:rFonts w:ascii="Bookman Old Style" w:hAnsi="Bookman Old Style"/>
        </w:rPr>
      </w:pPr>
      <w:r>
        <w:rPr>
          <w:rFonts w:ascii="Bookman Old Style" w:hAnsi="Bookman Old Style"/>
        </w:rPr>
        <w:t xml:space="preserve">Vanno </w:t>
      </w:r>
      <w:r w:rsidRPr="008171D1">
        <w:rPr>
          <w:rFonts w:ascii="Bookman Old Style" w:hAnsi="Bookman Old Style"/>
        </w:rPr>
        <w:t xml:space="preserve">messi in campo interventi che guardano al commercio </w:t>
      </w:r>
      <w:r w:rsidR="00D600B7">
        <w:rPr>
          <w:rFonts w:ascii="Bookman Old Style" w:hAnsi="Bookman Old Style"/>
        </w:rPr>
        <w:t>e all’artigianato come ad una funzione di servizio</w:t>
      </w:r>
      <w:r w:rsidRPr="008171D1">
        <w:rPr>
          <w:rFonts w:ascii="Bookman Old Style" w:hAnsi="Bookman Old Style"/>
        </w:rPr>
        <w:t xml:space="preserve"> fondamentale, e che prevedono azioni e strumenti diversificati in base alla tipologia e alla dimensione comunale.</w:t>
      </w:r>
    </w:p>
    <w:p w:rsidR="008171D1" w:rsidRDefault="008171D1" w:rsidP="008171D1">
      <w:pPr>
        <w:spacing w:after="120"/>
        <w:jc w:val="both"/>
        <w:rPr>
          <w:rFonts w:ascii="Bookman Old Style" w:hAnsi="Bookman Old Style"/>
        </w:rPr>
      </w:pPr>
    </w:p>
    <w:p w:rsidR="008171D1" w:rsidRPr="008171D1" w:rsidRDefault="008171D1" w:rsidP="008171D1">
      <w:pPr>
        <w:spacing w:after="120"/>
        <w:jc w:val="both"/>
        <w:rPr>
          <w:rFonts w:ascii="Bookman Old Style" w:hAnsi="Bookman Old Style"/>
          <w:b/>
          <w:i/>
        </w:rPr>
      </w:pPr>
      <w:r w:rsidRPr="008171D1">
        <w:rPr>
          <w:rFonts w:ascii="Bookman Old Style" w:hAnsi="Bookman Old Style"/>
          <w:b/>
          <w:i/>
        </w:rPr>
        <w:t>Interventi nei Comuni medi e grandi</w:t>
      </w:r>
    </w:p>
    <w:p w:rsidR="00475AC2" w:rsidRDefault="008171D1" w:rsidP="008171D1">
      <w:pPr>
        <w:spacing w:after="120"/>
        <w:jc w:val="both"/>
        <w:rPr>
          <w:rFonts w:ascii="Bookman Old Style" w:hAnsi="Bookman Old Style"/>
        </w:rPr>
      </w:pPr>
      <w:r>
        <w:rPr>
          <w:rFonts w:ascii="Bookman Old Style" w:hAnsi="Bookman Old Style"/>
        </w:rPr>
        <w:t>Guardan</w:t>
      </w:r>
      <w:r w:rsidR="00193A63">
        <w:rPr>
          <w:rFonts w:ascii="Bookman Old Style" w:hAnsi="Bookman Old Style"/>
        </w:rPr>
        <w:t>d</w:t>
      </w:r>
      <w:r>
        <w:rPr>
          <w:rFonts w:ascii="Bookman Old Style" w:hAnsi="Bookman Old Style"/>
        </w:rPr>
        <w:t xml:space="preserve">o al parallelismo fra rivalutazione del commercio di vicinato e aumento del commercio on line come </w:t>
      </w:r>
      <w:r w:rsidR="00541E5B">
        <w:rPr>
          <w:rFonts w:ascii="Bookman Old Style" w:hAnsi="Bookman Old Style"/>
        </w:rPr>
        <w:t xml:space="preserve">ad elementi non necessariamente in contrasto fra di loro, ma potenzialmente generatori di sinergie positive, </w:t>
      </w:r>
      <w:r w:rsidR="00541E5B" w:rsidRPr="00AC2522">
        <w:rPr>
          <w:rFonts w:ascii="Bookman Old Style" w:hAnsi="Bookman Old Style"/>
          <w:b/>
          <w:bCs/>
        </w:rPr>
        <w:t xml:space="preserve">va supportata </w:t>
      </w:r>
      <w:r w:rsidRPr="00AC2522">
        <w:rPr>
          <w:rFonts w:ascii="Bookman Old Style" w:hAnsi="Bookman Old Style"/>
          <w:b/>
          <w:bCs/>
        </w:rPr>
        <w:t xml:space="preserve">la </w:t>
      </w:r>
      <w:r w:rsidR="00634D88" w:rsidRPr="00AC2522">
        <w:rPr>
          <w:rFonts w:ascii="Bookman Old Style" w:hAnsi="Bookman Old Style"/>
          <w:b/>
          <w:bCs/>
        </w:rPr>
        <w:t>transizione al digitale delle micro e piccole aziende</w:t>
      </w:r>
      <w:r w:rsidR="00634D88">
        <w:rPr>
          <w:rFonts w:ascii="Bookman Old Style" w:hAnsi="Bookman Old Style"/>
        </w:rPr>
        <w:t xml:space="preserve">, a partire da interventi di formazione e messa a disposizione sistemica di servizi digitali di supporto. Fra questi, si citano ad esempio </w:t>
      </w:r>
      <w:r w:rsidR="00475AC2">
        <w:rPr>
          <w:rFonts w:ascii="Bookman Old Style" w:hAnsi="Bookman Old Style"/>
        </w:rPr>
        <w:t xml:space="preserve">due tipologie di </w:t>
      </w:r>
      <w:r w:rsidR="00541E5B">
        <w:rPr>
          <w:rFonts w:ascii="Bookman Old Style" w:hAnsi="Bookman Old Style"/>
        </w:rPr>
        <w:t xml:space="preserve">piattaforme </w:t>
      </w:r>
      <w:r w:rsidR="00475AC2">
        <w:rPr>
          <w:rFonts w:ascii="Bookman Old Style" w:hAnsi="Bookman Old Style"/>
        </w:rPr>
        <w:t>di servizio</w:t>
      </w:r>
      <w:r w:rsidR="00541E5B">
        <w:rPr>
          <w:rFonts w:ascii="Bookman Old Style" w:hAnsi="Bookman Old Style"/>
        </w:rPr>
        <w:t xml:space="preserve"> locali</w:t>
      </w:r>
      <w:r w:rsidR="00AC2522">
        <w:rPr>
          <w:rFonts w:ascii="Bookman Old Style" w:hAnsi="Bookman Old Style"/>
        </w:rPr>
        <w:t xml:space="preserve"> – la cui proposta è frutto del confronto organico dell’ANCI con le maggiori associazioni di categoria del commercio - </w:t>
      </w:r>
      <w:r w:rsidR="00634D88">
        <w:rPr>
          <w:rFonts w:ascii="Bookman Old Style" w:hAnsi="Bookman Old Style"/>
        </w:rPr>
        <w:t xml:space="preserve">la cui realizzazione deve essere </w:t>
      </w:r>
      <w:r w:rsidR="00475AC2" w:rsidRPr="008171D1">
        <w:rPr>
          <w:rFonts w:ascii="Bookman Old Style" w:hAnsi="Bookman Old Style"/>
        </w:rPr>
        <w:t>frutto di una condivisione tra Com</w:t>
      </w:r>
      <w:r w:rsidR="00D600B7">
        <w:rPr>
          <w:rFonts w:ascii="Bookman Old Style" w:hAnsi="Bookman Old Style"/>
        </w:rPr>
        <w:t>une e Associazioni di categoria</w:t>
      </w:r>
      <w:r w:rsidR="00475AC2" w:rsidRPr="008171D1">
        <w:rPr>
          <w:rFonts w:ascii="Bookman Old Style" w:hAnsi="Bookman Old Style"/>
        </w:rPr>
        <w:t xml:space="preserve"> per definir</w:t>
      </w:r>
      <w:r w:rsidR="00475AC2">
        <w:rPr>
          <w:rFonts w:ascii="Bookman Old Style" w:hAnsi="Bookman Old Style"/>
        </w:rPr>
        <w:t>n</w:t>
      </w:r>
      <w:r w:rsidR="00475AC2" w:rsidRPr="008171D1">
        <w:rPr>
          <w:rFonts w:ascii="Bookman Old Style" w:hAnsi="Bookman Old Style"/>
        </w:rPr>
        <w:t xml:space="preserve">e le modalità di gestione, la ripartizione dei costi e l’individuazione di premialità, </w:t>
      </w:r>
      <w:r w:rsidR="00475AC2">
        <w:rPr>
          <w:rFonts w:ascii="Bookman Old Style" w:hAnsi="Bookman Old Style"/>
        </w:rPr>
        <w:t xml:space="preserve">ai fini del raggiungimento di </w:t>
      </w:r>
      <w:r w:rsidR="00475AC2" w:rsidRPr="008171D1">
        <w:rPr>
          <w:rFonts w:ascii="Bookman Old Style" w:hAnsi="Bookman Old Style"/>
        </w:rPr>
        <w:t xml:space="preserve">una </w:t>
      </w:r>
      <w:r w:rsidR="00475AC2">
        <w:rPr>
          <w:rFonts w:ascii="Bookman Old Style" w:hAnsi="Bookman Old Style"/>
        </w:rPr>
        <w:t>propria sostenibilità economica:</w:t>
      </w:r>
    </w:p>
    <w:p w:rsidR="008171D1" w:rsidRDefault="00475AC2" w:rsidP="00562CBC">
      <w:pPr>
        <w:pStyle w:val="Paragrafoelenco"/>
        <w:numPr>
          <w:ilvl w:val="0"/>
          <w:numId w:val="1"/>
        </w:numPr>
        <w:spacing w:after="120"/>
        <w:ind w:left="357" w:hanging="357"/>
        <w:contextualSpacing w:val="0"/>
        <w:jc w:val="both"/>
        <w:rPr>
          <w:rFonts w:ascii="Bookman Old Style" w:hAnsi="Bookman Old Style"/>
        </w:rPr>
      </w:pPr>
      <w:r w:rsidRPr="00634D88">
        <w:rPr>
          <w:rFonts w:ascii="Bookman Old Style" w:hAnsi="Bookman Old Style"/>
          <w:b/>
          <w:bCs/>
        </w:rPr>
        <w:t>marketplace digitali su scala cittadina</w:t>
      </w:r>
      <w:r>
        <w:rPr>
          <w:rFonts w:ascii="Bookman Old Style" w:hAnsi="Bookman Old Style"/>
        </w:rPr>
        <w:t>, basati</w:t>
      </w:r>
      <w:r w:rsidR="008171D1" w:rsidRPr="00475AC2">
        <w:rPr>
          <w:rFonts w:ascii="Bookman Old Style" w:hAnsi="Bookman Old Style"/>
        </w:rPr>
        <w:t xml:space="preserve"> su </w:t>
      </w:r>
      <w:r w:rsidR="00541E5B" w:rsidRPr="00475AC2">
        <w:rPr>
          <w:rFonts w:ascii="Bookman Old Style" w:hAnsi="Bookman Old Style"/>
        </w:rPr>
        <w:t>dati  georeferenziati</w:t>
      </w:r>
      <w:r w:rsidR="008171D1" w:rsidRPr="00475AC2">
        <w:rPr>
          <w:rFonts w:ascii="Bookman Old Style" w:hAnsi="Bookman Old Style"/>
        </w:rPr>
        <w:t xml:space="preserve"> </w:t>
      </w:r>
      <w:r>
        <w:rPr>
          <w:rFonts w:ascii="Bookman Old Style" w:hAnsi="Bookman Old Style"/>
        </w:rPr>
        <w:t xml:space="preserve">e integrazione di strumenti di e-commerce, </w:t>
      </w:r>
      <w:r w:rsidR="00541E5B" w:rsidRPr="00475AC2">
        <w:rPr>
          <w:rFonts w:ascii="Bookman Old Style" w:hAnsi="Bookman Old Style"/>
        </w:rPr>
        <w:t>per</w:t>
      </w:r>
      <w:r w:rsidR="008171D1" w:rsidRPr="00475AC2">
        <w:rPr>
          <w:rFonts w:ascii="Bookman Old Style" w:hAnsi="Bookman Old Style"/>
        </w:rPr>
        <w:t xml:space="preserve"> permettere a tutti i cittadini di individuare agilmente le piccole attività commerciali, della ristorazione e di servizio della propria zona</w:t>
      </w:r>
      <w:r w:rsidR="00541E5B" w:rsidRPr="00475AC2">
        <w:rPr>
          <w:rFonts w:ascii="Bookman Old Style" w:hAnsi="Bookman Old Style"/>
        </w:rPr>
        <w:t>, permettendo in questo modo un potenziamento dell’offerta e un’integrazione dei servizi offerti, compresi quelli complementari messi a disposizione dalle amministrazioni locali.</w:t>
      </w:r>
      <w:r w:rsidR="008171D1" w:rsidRPr="00475AC2">
        <w:rPr>
          <w:rFonts w:ascii="Bookman Old Style" w:hAnsi="Bookman Old Style"/>
        </w:rPr>
        <w:t xml:space="preserve"> Con tale modalità</w:t>
      </w:r>
      <w:r w:rsidR="00541E5B" w:rsidRPr="00475AC2">
        <w:rPr>
          <w:rFonts w:ascii="Bookman Old Style" w:hAnsi="Bookman Old Style"/>
        </w:rPr>
        <w:t>, oltre a permettere</w:t>
      </w:r>
      <w:r w:rsidR="008171D1" w:rsidRPr="00475AC2">
        <w:rPr>
          <w:rFonts w:ascii="Bookman Old Style" w:hAnsi="Bookman Old Style"/>
        </w:rPr>
        <w:t xml:space="preserve"> </w:t>
      </w:r>
      <w:r w:rsidR="00541E5B" w:rsidRPr="00475AC2">
        <w:rPr>
          <w:rFonts w:ascii="Bookman Old Style" w:hAnsi="Bookman Old Style"/>
        </w:rPr>
        <w:t>l’acquisto</w:t>
      </w:r>
      <w:r w:rsidR="008171D1" w:rsidRPr="00475AC2">
        <w:rPr>
          <w:rFonts w:ascii="Bookman Old Style" w:hAnsi="Bookman Old Style"/>
        </w:rPr>
        <w:t xml:space="preserve"> e </w:t>
      </w:r>
      <w:r w:rsidR="00541E5B" w:rsidRPr="00475AC2">
        <w:rPr>
          <w:rFonts w:ascii="Bookman Old Style" w:hAnsi="Bookman Old Style"/>
        </w:rPr>
        <w:t>la ricezione</w:t>
      </w:r>
      <w:r w:rsidR="008171D1" w:rsidRPr="00475AC2">
        <w:rPr>
          <w:rFonts w:ascii="Bookman Old Style" w:hAnsi="Bookman Old Style"/>
        </w:rPr>
        <w:t xml:space="preserve"> in sicurezza </w:t>
      </w:r>
      <w:r w:rsidR="00541E5B" w:rsidRPr="00475AC2">
        <w:rPr>
          <w:rFonts w:ascii="Bookman Old Style" w:hAnsi="Bookman Old Style"/>
        </w:rPr>
        <w:t>de</w:t>
      </w:r>
      <w:r w:rsidR="008171D1" w:rsidRPr="00475AC2">
        <w:rPr>
          <w:rFonts w:ascii="Bookman Old Style" w:hAnsi="Bookman Old Style"/>
        </w:rPr>
        <w:t>i prodotti senza uscire dalla propria abitazione</w:t>
      </w:r>
      <w:r w:rsidR="00541E5B" w:rsidRPr="00475AC2">
        <w:rPr>
          <w:rFonts w:ascii="Bookman Old Style" w:hAnsi="Bookman Old Style"/>
        </w:rPr>
        <w:t xml:space="preserve"> nella fase di convivenza con il virus</w:t>
      </w:r>
      <w:r w:rsidR="008171D1" w:rsidRPr="00475AC2">
        <w:rPr>
          <w:rFonts w:ascii="Bookman Old Style" w:hAnsi="Bookman Old Style"/>
        </w:rPr>
        <w:t xml:space="preserve">, </w:t>
      </w:r>
      <w:r w:rsidR="00541E5B" w:rsidRPr="00475AC2">
        <w:rPr>
          <w:rFonts w:ascii="Bookman Old Style" w:hAnsi="Bookman Old Style"/>
        </w:rPr>
        <w:t>si riducono</w:t>
      </w:r>
      <w:r w:rsidR="008171D1" w:rsidRPr="00475AC2">
        <w:rPr>
          <w:rFonts w:ascii="Bookman Old Style" w:hAnsi="Bookman Old Style"/>
        </w:rPr>
        <w:t xml:space="preserve"> gli spostamenti per le consegne, in quanto gravitanti su una parte ridotta della città, eventualmente ottimizzando i percorsi con una gestione logistica in forma centralizzata o attraverso una rete volontaria tra i diversi operatori commerciali.</w:t>
      </w:r>
      <w:r w:rsidRPr="00475AC2">
        <w:rPr>
          <w:rFonts w:ascii="Bookman Old Style" w:hAnsi="Bookman Old Style"/>
        </w:rPr>
        <w:t xml:space="preserve"> Tali strumenti paiono capaci di valorizzare il ruolo del commercio di vicinato come risorsa territoriale e ricchezza per la vita del quartiere.</w:t>
      </w:r>
    </w:p>
    <w:p w:rsidR="00475AC2" w:rsidRDefault="00475AC2" w:rsidP="00562CBC">
      <w:pPr>
        <w:pStyle w:val="Paragrafoelenco"/>
        <w:numPr>
          <w:ilvl w:val="0"/>
          <w:numId w:val="1"/>
        </w:numPr>
        <w:spacing w:after="120"/>
        <w:ind w:left="357" w:hanging="357"/>
        <w:contextualSpacing w:val="0"/>
        <w:jc w:val="both"/>
        <w:rPr>
          <w:rFonts w:ascii="Bookman Old Style" w:hAnsi="Bookman Old Style"/>
        </w:rPr>
      </w:pPr>
      <w:r w:rsidRPr="00634D88">
        <w:rPr>
          <w:rFonts w:ascii="Bookman Old Style" w:hAnsi="Bookman Old Style"/>
          <w:b/>
          <w:bCs/>
        </w:rPr>
        <w:t>piattaforme logistiche in ambito urbano</w:t>
      </w:r>
      <w:r w:rsidRPr="008171D1">
        <w:rPr>
          <w:rFonts w:ascii="Bookman Old Style" w:hAnsi="Bookman Old Style"/>
        </w:rPr>
        <w:t xml:space="preserve"> per realizzare una distribuzione intelligente, sicura ed ecologica delle merci dirette sia verso i negozi, sia da questi verso i consumatori finali all’interno della città. Seguendo il criterio della massimizzazione del carico e della minimizzazione dei percorsi, la piattaforma logistica </w:t>
      </w:r>
      <w:r>
        <w:rPr>
          <w:rFonts w:ascii="Bookman Old Style" w:hAnsi="Bookman Old Style"/>
        </w:rPr>
        <w:t xml:space="preserve">urbana </w:t>
      </w:r>
      <w:r w:rsidR="00634D88">
        <w:rPr>
          <w:rFonts w:ascii="Bookman Old Style" w:hAnsi="Bookman Old Style"/>
        </w:rPr>
        <w:t xml:space="preserve">dovrà </w:t>
      </w:r>
      <w:r w:rsidRPr="008171D1">
        <w:rPr>
          <w:rFonts w:ascii="Bookman Old Style" w:hAnsi="Bookman Old Style"/>
        </w:rPr>
        <w:t>consentir</w:t>
      </w:r>
      <w:r w:rsidR="00634D88">
        <w:rPr>
          <w:rFonts w:ascii="Bookman Old Style" w:hAnsi="Bookman Old Style"/>
        </w:rPr>
        <w:t>e</w:t>
      </w:r>
      <w:r w:rsidRPr="008171D1">
        <w:rPr>
          <w:rFonts w:ascii="Bookman Old Style" w:hAnsi="Bookman Old Style"/>
        </w:rPr>
        <w:t xml:space="preserve"> una gestione ottimale dei ricevimenti e delle consegne di merci, con mezzi ecologici esentati da restrizioni relative a finestre temporali e a determinati percorsi o aree. In tal modo si permette di ridurre il numero di veicoli merci circolanti con effetti sull’efficienza del sistema distributivo, sulla possibilità di sosta, sulla circolazione pedonale e veicolare, sull’inquinamento atmosferico e acustico. Il sistema dovrà disporre di tecnologie informatiche tali da ottimizzare la gestione e consentire il monitoraggio dello stato delle consegne, garantire la sicurezza delle merci grazie ad elevati standard di igiene sia dei mezzi, sia del terminal logistico, e offrire servizi aggiuntivi per gli esercenti, come un deposito merci o l’integrazione con i sistemi di ordinazioni via ordinazioni tramite marketplace digitale</w:t>
      </w:r>
      <w:r>
        <w:rPr>
          <w:rFonts w:ascii="Bookman Old Style" w:hAnsi="Bookman Old Style"/>
        </w:rPr>
        <w:t>.</w:t>
      </w:r>
    </w:p>
    <w:p w:rsidR="00475AC2" w:rsidRDefault="00562CBC" w:rsidP="00475AC2">
      <w:pPr>
        <w:spacing w:after="120"/>
        <w:jc w:val="both"/>
        <w:rPr>
          <w:rFonts w:ascii="Bookman Old Style" w:hAnsi="Bookman Old Style"/>
        </w:rPr>
      </w:pPr>
      <w:r>
        <w:rPr>
          <w:rFonts w:ascii="Bookman Old Style" w:hAnsi="Bookman Old Style"/>
        </w:rPr>
        <w:t>Altri ambiti di intervento sui quali appare opportuno attivare sinergie fra pubblico e privato sono:</w:t>
      </w:r>
    </w:p>
    <w:p w:rsidR="00562CBC" w:rsidRPr="00562CBC" w:rsidRDefault="00562CBC" w:rsidP="00562CBC">
      <w:pPr>
        <w:pStyle w:val="Paragrafoelenco"/>
        <w:numPr>
          <w:ilvl w:val="0"/>
          <w:numId w:val="1"/>
        </w:numPr>
        <w:spacing w:after="120"/>
        <w:ind w:left="357" w:hanging="357"/>
        <w:contextualSpacing w:val="0"/>
        <w:jc w:val="both"/>
        <w:rPr>
          <w:rFonts w:ascii="Bookman Old Style" w:hAnsi="Bookman Old Style"/>
        </w:rPr>
      </w:pPr>
      <w:r>
        <w:rPr>
          <w:rFonts w:ascii="Bookman Old Style" w:hAnsi="Bookman Old Style"/>
        </w:rPr>
        <w:t xml:space="preserve">la </w:t>
      </w:r>
      <w:r w:rsidRPr="00AC2522">
        <w:rPr>
          <w:rFonts w:ascii="Bookman Old Style" w:hAnsi="Bookman Old Style"/>
          <w:b/>
          <w:bCs/>
        </w:rPr>
        <w:t>definizione di politiche di marketing territoriale che vedano l’artigianato e il commercio e i loro prodotti come componente del patrimonio culturale del Comune</w:t>
      </w:r>
      <w:r>
        <w:rPr>
          <w:rFonts w:ascii="Bookman Old Style" w:hAnsi="Bookman Old Style"/>
        </w:rPr>
        <w:t>;</w:t>
      </w:r>
    </w:p>
    <w:p w:rsidR="00562CBC" w:rsidRDefault="00562CBC" w:rsidP="00562CBC">
      <w:pPr>
        <w:pStyle w:val="Paragrafoelenco"/>
        <w:numPr>
          <w:ilvl w:val="0"/>
          <w:numId w:val="1"/>
        </w:numPr>
        <w:spacing w:after="120"/>
        <w:ind w:left="357" w:hanging="357"/>
        <w:contextualSpacing w:val="0"/>
        <w:jc w:val="both"/>
        <w:rPr>
          <w:rFonts w:ascii="Bookman Old Style" w:hAnsi="Bookman Old Style"/>
        </w:rPr>
      </w:pPr>
      <w:r w:rsidRPr="00562CBC">
        <w:rPr>
          <w:rFonts w:ascii="Bookman Old Style" w:hAnsi="Bookman Old Style"/>
        </w:rPr>
        <w:lastRenderedPageBreak/>
        <w:t xml:space="preserve">l’individuazione di </w:t>
      </w:r>
      <w:r w:rsidRPr="00AC2522">
        <w:rPr>
          <w:rFonts w:ascii="Bookman Old Style" w:hAnsi="Bookman Old Style"/>
          <w:b/>
          <w:bCs/>
        </w:rPr>
        <w:t>meccanismi di finanziamento per la promozione di iniziative di carattere formativo finalizzate alla qualificazione e riqualificazione dei lavoratori</w:t>
      </w:r>
      <w:r>
        <w:rPr>
          <w:rFonts w:ascii="Bookman Old Style" w:hAnsi="Bookman Old Style"/>
        </w:rPr>
        <w:t>, con particolare riferimento alle competenze digitali;</w:t>
      </w:r>
    </w:p>
    <w:p w:rsidR="00562CBC" w:rsidRPr="00562CBC" w:rsidRDefault="00562CBC" w:rsidP="00562CBC">
      <w:pPr>
        <w:pStyle w:val="Paragrafoelenco"/>
        <w:numPr>
          <w:ilvl w:val="0"/>
          <w:numId w:val="1"/>
        </w:numPr>
        <w:spacing w:after="120"/>
        <w:ind w:left="357" w:hanging="357"/>
        <w:contextualSpacing w:val="0"/>
        <w:jc w:val="both"/>
        <w:rPr>
          <w:rFonts w:ascii="Bookman Old Style" w:hAnsi="Bookman Old Style"/>
        </w:rPr>
      </w:pPr>
      <w:r w:rsidRPr="00562CBC">
        <w:rPr>
          <w:rFonts w:ascii="Bookman Old Style" w:hAnsi="Bookman Old Style"/>
        </w:rPr>
        <w:t xml:space="preserve">l'attivazione di </w:t>
      </w:r>
      <w:r w:rsidRPr="00AC2522">
        <w:rPr>
          <w:rFonts w:ascii="Bookman Old Style" w:hAnsi="Bookman Old Style"/>
          <w:b/>
          <w:bCs/>
        </w:rPr>
        <w:t>servizi di affiancamento alle piccole e medie imprese nella ricerca di finanziamenti</w:t>
      </w:r>
      <w:r w:rsidRPr="00562CBC">
        <w:rPr>
          <w:rFonts w:ascii="Bookman Old Style" w:hAnsi="Bookman Old Style"/>
        </w:rPr>
        <w:t xml:space="preserve"> ed incentivi all'insediamento</w:t>
      </w:r>
      <w:r>
        <w:rPr>
          <w:rFonts w:ascii="Bookman Old Style" w:hAnsi="Bookman Old Style"/>
        </w:rPr>
        <w:t>.</w:t>
      </w:r>
    </w:p>
    <w:p w:rsidR="00D600B7" w:rsidRPr="008171D1" w:rsidRDefault="00D600B7" w:rsidP="008171D1">
      <w:pPr>
        <w:spacing w:after="120"/>
        <w:jc w:val="both"/>
        <w:rPr>
          <w:rFonts w:ascii="Bookman Old Style" w:hAnsi="Bookman Old Style"/>
        </w:rPr>
      </w:pPr>
    </w:p>
    <w:p w:rsidR="008171D1" w:rsidRPr="00562CBC" w:rsidRDefault="008171D1" w:rsidP="00562CBC">
      <w:pPr>
        <w:spacing w:after="120"/>
        <w:jc w:val="both"/>
        <w:rPr>
          <w:rFonts w:ascii="Bookman Old Style" w:hAnsi="Bookman Old Style"/>
          <w:b/>
          <w:i/>
        </w:rPr>
      </w:pPr>
      <w:r w:rsidRPr="00562CBC">
        <w:rPr>
          <w:rFonts w:ascii="Bookman Old Style" w:hAnsi="Bookman Old Style"/>
          <w:b/>
          <w:i/>
        </w:rPr>
        <w:t>Interventi nei piccoli Comuni</w:t>
      </w:r>
    </w:p>
    <w:p w:rsidR="008171D1" w:rsidRPr="00562CBC" w:rsidRDefault="008171D1" w:rsidP="008171D1">
      <w:pPr>
        <w:spacing w:after="120"/>
        <w:jc w:val="both"/>
        <w:rPr>
          <w:rFonts w:ascii="Bookman Old Style" w:hAnsi="Bookman Old Style"/>
        </w:rPr>
      </w:pPr>
      <w:r w:rsidRPr="00AC2522">
        <w:rPr>
          <w:rFonts w:ascii="Bookman Old Style" w:hAnsi="Bookman Old Style"/>
          <w:b/>
          <w:bCs/>
        </w:rPr>
        <w:t>Gli esercizi commerciali presenti nei piccoli Comuni esercitano, più che in altri contesti urbani, una fondamentale funzione sociale, oltre che di servizio</w:t>
      </w:r>
      <w:r w:rsidRPr="00562CBC">
        <w:rPr>
          <w:rFonts w:ascii="Bookman Old Style" w:hAnsi="Bookman Old Style"/>
        </w:rPr>
        <w:t xml:space="preserve">. Sono luoghi di riferimento e ritrovo spesso insostituibili per mantenere viva una comunità. La loro presenza, insieme all’agibilità dei servizi essenziali relativi a sanità, istruzione e trasporti, può determinare la scelta delle persone rispetto all’abitare o no i luoghi. Questa peculiare dimensione del commercio, già in grande sofferenza prima dell’emergenza coronavirus, rischia ora semplicemente di scomparire, incapace di resistere a un’ulteriore contrazione dei già quasi inesistenti ricavi. </w:t>
      </w:r>
    </w:p>
    <w:p w:rsidR="008171D1" w:rsidRPr="00562CBC" w:rsidRDefault="008171D1" w:rsidP="008171D1">
      <w:pPr>
        <w:spacing w:after="120"/>
        <w:jc w:val="both"/>
        <w:rPr>
          <w:rFonts w:ascii="Bookman Old Style" w:hAnsi="Bookman Old Style"/>
        </w:rPr>
      </w:pPr>
      <w:r w:rsidRPr="00562CBC">
        <w:rPr>
          <w:rFonts w:ascii="Bookman Old Style" w:hAnsi="Bookman Old Style"/>
        </w:rPr>
        <w:t xml:space="preserve">Si rischia di rendere vano ogni sforzo che si sta(va) compiendo per contrastare lo spopolamento delle tante aree rurali, montane e interne del nostro Paese. E’ un problema di prospettiva ma anche contingente: in molti dei territori non urbani i negozi sono un servizio essenziale alla cittadinanza anche in ottica di riduzione degli spostamenti. </w:t>
      </w:r>
      <w:r w:rsidRPr="00AC2522">
        <w:rPr>
          <w:rFonts w:ascii="Bookman Old Style" w:hAnsi="Bookman Old Style"/>
          <w:b/>
          <w:bCs/>
        </w:rPr>
        <w:t>Non basta più agire (e spesso con grande fatica) sulla leva tributaria, che non riesce ad alleviare, se non marginalmente, l’incidenza dei costi fissi sull’esercizio</w:t>
      </w:r>
      <w:r w:rsidRPr="00562CBC">
        <w:rPr>
          <w:rFonts w:ascii="Bookman Old Style" w:hAnsi="Bookman Old Style"/>
        </w:rPr>
        <w:t xml:space="preserve">. Appare dunque necessario cambiare prospettiva, e ragionare su una diversa natura di questi </w:t>
      </w:r>
      <w:r w:rsidRPr="00EA3261">
        <w:rPr>
          <w:rFonts w:ascii="Bookman Old Style" w:hAnsi="Bookman Old Style"/>
        </w:rPr>
        <w:t xml:space="preserve">esercizi: </w:t>
      </w:r>
      <w:r w:rsidRPr="00EA3261">
        <w:rPr>
          <w:rFonts w:ascii="Bookman Old Style" w:hAnsi="Bookman Old Style"/>
          <w:b/>
          <w:bCs/>
        </w:rPr>
        <w:t>da attività commerciale a servizio pubblico, e come tale normato dalla legislazione</w:t>
      </w:r>
      <w:r w:rsidRPr="00EA3261">
        <w:rPr>
          <w:rFonts w:ascii="Bookman Old Style" w:hAnsi="Bookman Old Style"/>
        </w:rPr>
        <w:t>. L’interesse pubblico da tutelare è quello della fornitura di servizi essenziali in loco, quale condizione minima per abitare i luoghi. Un interesse pubblico che, al di là</w:t>
      </w:r>
      <w:r w:rsidRPr="00562CBC">
        <w:rPr>
          <w:rFonts w:ascii="Bookman Old Style" w:hAnsi="Bookman Old Style"/>
        </w:rPr>
        <w:t xml:space="preserve"> delle considerazioni sulla “vitalità” dei centri,  non può essere completamente soddisfatto dalla grande distribuzione (spesso molto distante) né dal commercio on line, sia per ragioni legate alla natura di alcuni beni e servizi offerti, sia per il </w:t>
      </w:r>
      <w:proofErr w:type="spellStart"/>
      <w:r w:rsidRPr="00AC2522">
        <w:rPr>
          <w:rFonts w:ascii="Bookman Old Style" w:hAnsi="Bookman Old Style"/>
          <w:i/>
          <w:iCs/>
        </w:rPr>
        <w:t>digital</w:t>
      </w:r>
      <w:proofErr w:type="spellEnd"/>
      <w:r w:rsidRPr="00AC2522">
        <w:rPr>
          <w:rFonts w:ascii="Bookman Old Style" w:hAnsi="Bookman Old Style"/>
          <w:i/>
          <w:iCs/>
        </w:rPr>
        <w:t xml:space="preserve"> divide</w:t>
      </w:r>
      <w:r w:rsidRPr="00562CBC">
        <w:rPr>
          <w:rFonts w:ascii="Bookman Old Style" w:hAnsi="Bookman Old Style"/>
        </w:rPr>
        <w:t xml:space="preserve"> culturale (l’età media della popolazione è spesso inversamente proporzionale alla dimensione del Comune, soprattutto nelle aree interne) e infrastrutturale.</w:t>
      </w:r>
      <w:r w:rsidR="00562CBC">
        <w:rPr>
          <w:rFonts w:ascii="Bookman Old Style" w:hAnsi="Bookman Old Style"/>
        </w:rPr>
        <w:t xml:space="preserve"> A</w:t>
      </w:r>
      <w:r w:rsidRPr="00562CBC">
        <w:rPr>
          <w:rFonts w:ascii="Bookman Old Style" w:hAnsi="Bookman Old Style"/>
        </w:rPr>
        <w:t xml:space="preserve">lcune </w:t>
      </w:r>
      <w:r w:rsidR="00562CBC">
        <w:rPr>
          <w:rFonts w:ascii="Bookman Old Style" w:hAnsi="Bookman Old Style"/>
        </w:rPr>
        <w:t>proposte di intervento per i piccoli C</w:t>
      </w:r>
      <w:r w:rsidRPr="00562CBC">
        <w:rPr>
          <w:rFonts w:ascii="Bookman Old Style" w:hAnsi="Bookman Old Style"/>
        </w:rPr>
        <w:t>omuni</w:t>
      </w:r>
      <w:r w:rsidR="00562CBC">
        <w:rPr>
          <w:rFonts w:ascii="Bookman Old Style" w:hAnsi="Bookman Old Style"/>
        </w:rPr>
        <w:t xml:space="preserve"> possono allora essere</w:t>
      </w:r>
      <w:r w:rsidRPr="00562CBC">
        <w:rPr>
          <w:rFonts w:ascii="Bookman Old Style" w:hAnsi="Bookman Old Style"/>
        </w:rPr>
        <w:t>:</w:t>
      </w:r>
    </w:p>
    <w:p w:rsidR="008171D1" w:rsidRPr="00EA3261" w:rsidRDefault="008171D1" w:rsidP="00562CBC">
      <w:pPr>
        <w:pStyle w:val="Paragrafoelenco"/>
        <w:numPr>
          <w:ilvl w:val="0"/>
          <w:numId w:val="11"/>
        </w:numPr>
        <w:spacing w:after="120"/>
        <w:jc w:val="both"/>
        <w:rPr>
          <w:rFonts w:ascii="Bookman Old Style" w:hAnsi="Bookman Old Style"/>
        </w:rPr>
      </w:pPr>
      <w:r w:rsidRPr="00EA3261">
        <w:rPr>
          <w:rFonts w:ascii="Bookman Old Style" w:hAnsi="Bookman Old Style"/>
        </w:rPr>
        <w:t>defiscalizzazione</w:t>
      </w:r>
      <w:r w:rsidR="00562CBC" w:rsidRPr="00EA3261">
        <w:rPr>
          <w:rFonts w:ascii="Bookman Old Style" w:hAnsi="Bookman Old Style"/>
        </w:rPr>
        <w:t>,</w:t>
      </w:r>
      <w:r w:rsidRPr="00EA3261">
        <w:rPr>
          <w:rFonts w:ascii="Bookman Old Style" w:hAnsi="Bookman Old Style"/>
        </w:rPr>
        <w:t xml:space="preserve"> con aliquote IVA differenziate</w:t>
      </w:r>
      <w:r w:rsidR="00562CBC" w:rsidRPr="00EA3261">
        <w:rPr>
          <w:rFonts w:ascii="Bookman Old Style" w:hAnsi="Bookman Old Style"/>
        </w:rPr>
        <w:t>,</w:t>
      </w:r>
      <w:r w:rsidRPr="00EA3261">
        <w:rPr>
          <w:rFonts w:ascii="Bookman Old Style" w:hAnsi="Bookman Old Style"/>
        </w:rPr>
        <w:t xml:space="preserve"> per i negozi che si trovano in particolari zone a rischio desertificazione;</w:t>
      </w:r>
    </w:p>
    <w:p w:rsidR="008171D1" w:rsidRPr="00EA3261" w:rsidRDefault="008171D1" w:rsidP="00562CBC">
      <w:pPr>
        <w:pStyle w:val="Paragrafoelenco"/>
        <w:numPr>
          <w:ilvl w:val="0"/>
          <w:numId w:val="11"/>
        </w:numPr>
        <w:spacing w:after="120"/>
        <w:jc w:val="both"/>
        <w:rPr>
          <w:rFonts w:ascii="Bookman Old Style" w:hAnsi="Bookman Old Style"/>
        </w:rPr>
      </w:pPr>
      <w:r w:rsidRPr="00EA3261">
        <w:rPr>
          <w:rFonts w:ascii="Bookman Old Style" w:hAnsi="Bookman Old Style"/>
        </w:rPr>
        <w:t>gestione diretta, da parte del soggetto pubblico (necessariamente in forma aggregata), dei servizi di logistica e approvvigionamento;</w:t>
      </w:r>
    </w:p>
    <w:p w:rsidR="008171D1" w:rsidRPr="00562CBC" w:rsidRDefault="008171D1" w:rsidP="00562CBC">
      <w:pPr>
        <w:pStyle w:val="Paragrafoelenco"/>
        <w:numPr>
          <w:ilvl w:val="0"/>
          <w:numId w:val="11"/>
        </w:numPr>
        <w:spacing w:after="120"/>
        <w:jc w:val="both"/>
        <w:rPr>
          <w:rFonts w:ascii="Bookman Old Style" w:hAnsi="Bookman Old Style"/>
        </w:rPr>
      </w:pPr>
      <w:r w:rsidRPr="00EA3261">
        <w:rPr>
          <w:rFonts w:ascii="Bookman Old Style" w:hAnsi="Bookman Old Style"/>
        </w:rPr>
        <w:t>forme di sostegno diretto con modalità simili a quelle utilizzate per il supporto alle</w:t>
      </w:r>
      <w:r w:rsidRPr="00562CBC">
        <w:rPr>
          <w:rFonts w:ascii="Bookman Old Style" w:hAnsi="Bookman Old Style"/>
        </w:rPr>
        <w:t xml:space="preserve"> “farmacie rurali”;</w:t>
      </w:r>
    </w:p>
    <w:p w:rsidR="008171D1" w:rsidRPr="00562CBC" w:rsidRDefault="008171D1" w:rsidP="00562CBC">
      <w:pPr>
        <w:pStyle w:val="Paragrafoelenco"/>
        <w:numPr>
          <w:ilvl w:val="0"/>
          <w:numId w:val="11"/>
        </w:numPr>
        <w:spacing w:after="120"/>
        <w:jc w:val="both"/>
        <w:rPr>
          <w:rFonts w:ascii="Bookman Old Style" w:hAnsi="Bookman Old Style"/>
        </w:rPr>
      </w:pPr>
      <w:r w:rsidRPr="00562CBC">
        <w:rPr>
          <w:rFonts w:ascii="Bookman Old Style" w:hAnsi="Bookman Old Style"/>
        </w:rPr>
        <w:t>coinvolgimento del terzo settore nella gestione e apertura degli esercizi;</w:t>
      </w:r>
    </w:p>
    <w:p w:rsidR="008171D1" w:rsidRPr="00562CBC" w:rsidRDefault="008171D1" w:rsidP="00562CBC">
      <w:pPr>
        <w:pStyle w:val="Paragrafoelenco"/>
        <w:numPr>
          <w:ilvl w:val="0"/>
          <w:numId w:val="11"/>
        </w:numPr>
        <w:spacing w:after="120"/>
        <w:jc w:val="both"/>
        <w:rPr>
          <w:rFonts w:ascii="Bookman Old Style" w:hAnsi="Bookman Old Style"/>
        </w:rPr>
      </w:pPr>
      <w:r w:rsidRPr="00562CBC">
        <w:rPr>
          <w:rFonts w:ascii="Bookman Old Style" w:hAnsi="Bookman Old Style"/>
        </w:rPr>
        <w:t>promozione di progetti di sensibilizzazione e formazione sul target giovanile per garantire e preparare il ricambio generazionale (o la riapertura di esercizi commerciali chiusi);</w:t>
      </w:r>
    </w:p>
    <w:p w:rsidR="008171D1" w:rsidRPr="00562CBC" w:rsidRDefault="008171D1" w:rsidP="00562CBC">
      <w:pPr>
        <w:pStyle w:val="Paragrafoelenco"/>
        <w:numPr>
          <w:ilvl w:val="0"/>
          <w:numId w:val="11"/>
        </w:numPr>
        <w:spacing w:after="120"/>
        <w:jc w:val="both"/>
        <w:rPr>
          <w:rFonts w:ascii="Bookman Old Style" w:hAnsi="Bookman Old Style"/>
        </w:rPr>
      </w:pPr>
      <w:r w:rsidRPr="00562CBC">
        <w:rPr>
          <w:rFonts w:ascii="Bookman Old Style" w:hAnsi="Bookman Old Style"/>
        </w:rPr>
        <w:t xml:space="preserve">supporto alle aziende locali del reparto agro-alimentare per l’apertura di punti vendita, anche legato a progetti di marketing e sviluppo delle tipicità   </w:t>
      </w:r>
    </w:p>
    <w:p w:rsidR="00D600B7" w:rsidRPr="00D600B7" w:rsidRDefault="00D600B7" w:rsidP="00D600B7">
      <w:pPr>
        <w:spacing w:after="120"/>
        <w:jc w:val="both"/>
        <w:rPr>
          <w:rFonts w:ascii="Bookman Old Style" w:hAnsi="Bookman Old Style"/>
        </w:rPr>
      </w:pPr>
      <w:r>
        <w:rPr>
          <w:rFonts w:ascii="Bookman Old Style" w:hAnsi="Bookman Old Style"/>
        </w:rPr>
        <w:t xml:space="preserve">Infine, quale intervento trasversale a tutti i Comuni, </w:t>
      </w:r>
      <w:r w:rsidRPr="00AC2522">
        <w:rPr>
          <w:rFonts w:ascii="Bookman Old Style" w:hAnsi="Bookman Old Style"/>
          <w:b/>
          <w:bCs/>
        </w:rPr>
        <w:t xml:space="preserve">si ribadisce la necessità di attivare al più presto, tramite l’emanazione dello specifico decreto di riparto da parte del Ministro dell’Interno, i contributi per la riapertura e l’ampliamento degli esercizi commerciali previsti dall’art. 30-ter del DL 30 aprile 2019, n. 34 (Decreto </w:t>
      </w:r>
      <w:r w:rsidRPr="00AC2522">
        <w:rPr>
          <w:rFonts w:ascii="Bookman Old Style" w:hAnsi="Bookman Old Style"/>
          <w:b/>
          <w:bCs/>
        </w:rPr>
        <w:lastRenderedPageBreak/>
        <w:t>crescita)</w:t>
      </w:r>
      <w:r w:rsidRPr="00D600B7">
        <w:rPr>
          <w:rFonts w:ascii="Bookman Old Style" w:hAnsi="Bookman Old Style"/>
        </w:rPr>
        <w:t>, ampliando contestualmente la dotazione del fondo per allargare la platea dei beneficiari anche ai Comuni con popolazione superiore ai 20.000 abitanti.</w:t>
      </w:r>
    </w:p>
    <w:p w:rsidR="00BD2E9A" w:rsidRDefault="00BD2E9A" w:rsidP="00BD2E9A">
      <w:pPr>
        <w:jc w:val="both"/>
        <w:rPr>
          <w:sz w:val="24"/>
          <w:szCs w:val="24"/>
        </w:rPr>
      </w:pPr>
    </w:p>
    <w:p w:rsidR="00BD2E9A" w:rsidRPr="000E5787" w:rsidRDefault="00BD2E9A" w:rsidP="000E5787">
      <w:pPr>
        <w:pStyle w:val="Titolo2"/>
        <w:numPr>
          <w:ilvl w:val="0"/>
          <w:numId w:val="13"/>
        </w:numPr>
        <w:rPr>
          <w:b/>
          <w:bCs/>
          <w:sz w:val="28"/>
          <w:szCs w:val="28"/>
        </w:rPr>
      </w:pPr>
      <w:bookmarkStart w:id="5" w:name="_Toc42609813"/>
      <w:r w:rsidRPr="000E5787">
        <w:rPr>
          <w:b/>
          <w:bCs/>
          <w:sz w:val="28"/>
          <w:szCs w:val="28"/>
        </w:rPr>
        <w:t>L’accesso alla terra</w:t>
      </w:r>
      <w:bookmarkEnd w:id="5"/>
    </w:p>
    <w:p w:rsidR="00BD2E9A" w:rsidRPr="00524F9C" w:rsidRDefault="00BD2E9A" w:rsidP="00BD2E9A">
      <w:pPr>
        <w:shd w:val="clear" w:color="auto" w:fill="FFFFFF"/>
        <w:spacing w:after="120"/>
        <w:jc w:val="both"/>
        <w:rPr>
          <w:rFonts w:ascii="Bookman Old Style" w:hAnsi="Bookman Old Style"/>
        </w:rPr>
      </w:pPr>
      <w:r w:rsidRPr="00732F3A">
        <w:rPr>
          <w:rFonts w:ascii="Bookman Old Style" w:hAnsi="Bookman Old Style"/>
          <w:b/>
          <w:bCs/>
        </w:rPr>
        <w:t>Il tema della terra e della filiera agricola è particolarmente rilevante</w:t>
      </w:r>
      <w:r w:rsidRPr="00524F9C">
        <w:rPr>
          <w:rFonts w:ascii="Bookman Old Style" w:hAnsi="Bookman Old Style"/>
        </w:rPr>
        <w:t xml:space="preserve">, anche per fronteggiare l’attuale fase </w:t>
      </w:r>
      <w:r w:rsidR="00524F9C">
        <w:rPr>
          <w:rFonts w:ascii="Bookman Old Style" w:hAnsi="Bookman Old Style"/>
        </w:rPr>
        <w:t>di contrasto a Covid</w:t>
      </w:r>
      <w:r w:rsidRPr="00524F9C">
        <w:rPr>
          <w:rFonts w:ascii="Bookman Old Style" w:hAnsi="Bookman Old Style"/>
        </w:rPr>
        <w:t xml:space="preserve">19, ma in prospettiva futura non solo per assicurare il cibo ma </w:t>
      </w:r>
      <w:r w:rsidRPr="00732F3A">
        <w:rPr>
          <w:rFonts w:ascii="Bookman Old Style" w:hAnsi="Bookman Old Style"/>
          <w:b/>
          <w:bCs/>
        </w:rPr>
        <w:t>per un equilibrio eco-sistemico e la creazione di nuova occupazione, soprattutto giovanile</w:t>
      </w:r>
      <w:r w:rsidRPr="00524F9C">
        <w:rPr>
          <w:rFonts w:ascii="Bookman Old Style" w:hAnsi="Bookman Old Style"/>
        </w:rPr>
        <w:t>.</w:t>
      </w:r>
    </w:p>
    <w:p w:rsidR="00BD2E9A" w:rsidRPr="00524F9C" w:rsidRDefault="00BD2E9A" w:rsidP="00BD2E9A">
      <w:pPr>
        <w:shd w:val="clear" w:color="auto" w:fill="FFFFFF"/>
        <w:spacing w:after="120"/>
        <w:jc w:val="both"/>
        <w:rPr>
          <w:rFonts w:ascii="Bookman Old Style" w:hAnsi="Bookman Old Style"/>
        </w:rPr>
      </w:pPr>
      <w:r w:rsidRPr="00524F9C">
        <w:rPr>
          <w:rFonts w:ascii="Bookman Old Style" w:hAnsi="Bookman Old Style"/>
        </w:rPr>
        <w:t>In questo ambito, sarebbe utile prevedere:</w:t>
      </w:r>
    </w:p>
    <w:p w:rsidR="00BD2E9A" w:rsidRPr="00524F9C" w:rsidRDefault="00BD2E9A" w:rsidP="00524F9C">
      <w:pPr>
        <w:pStyle w:val="Paragrafoelenco"/>
        <w:numPr>
          <w:ilvl w:val="0"/>
          <w:numId w:val="1"/>
        </w:numPr>
        <w:spacing w:after="120"/>
        <w:ind w:left="357" w:hanging="357"/>
        <w:contextualSpacing w:val="0"/>
        <w:jc w:val="both"/>
        <w:rPr>
          <w:rFonts w:ascii="Bookman Old Style" w:hAnsi="Bookman Old Style"/>
        </w:rPr>
      </w:pPr>
      <w:r w:rsidRPr="00524F9C">
        <w:rPr>
          <w:rFonts w:ascii="Bookman Old Style" w:hAnsi="Bookman Old Style"/>
        </w:rPr>
        <w:t xml:space="preserve">la </w:t>
      </w:r>
      <w:r w:rsidRPr="00732F3A">
        <w:rPr>
          <w:rFonts w:ascii="Bookman Old Style" w:hAnsi="Bookman Old Style"/>
          <w:b/>
          <w:bCs/>
        </w:rPr>
        <w:t>velocizzazione dell’attuazione del Testo unico forestale nazionale volto alla valo</w:t>
      </w:r>
      <w:r w:rsidR="00524F9C" w:rsidRPr="00732F3A">
        <w:rPr>
          <w:rFonts w:ascii="Bookman Old Style" w:hAnsi="Bookman Old Style"/>
          <w:b/>
          <w:bCs/>
        </w:rPr>
        <w:t>rizzazione delle filiere bosco-</w:t>
      </w:r>
      <w:r w:rsidRPr="00732F3A">
        <w:rPr>
          <w:rFonts w:ascii="Bookman Old Style" w:hAnsi="Bookman Old Style"/>
          <w:b/>
          <w:bCs/>
        </w:rPr>
        <w:t>legno, del prato-pascolo e del valore aggiunto dell’agricoltura di montagna</w:t>
      </w:r>
      <w:r w:rsidRPr="00524F9C">
        <w:rPr>
          <w:rFonts w:ascii="Bookman Old Style" w:hAnsi="Bookman Old Style"/>
        </w:rPr>
        <w:t xml:space="preserve">, tramite il superamento della frammentazione fondiaria (mediante Associazioni Fondiarie, ricomposizione, consorzi,), del problema dei terreni incolti, “silenti” ed abbandonati e il sostegno alle nuove </w:t>
      </w:r>
      <w:proofErr w:type="spellStart"/>
      <w:r w:rsidRPr="00524F9C">
        <w:rPr>
          <w:rFonts w:ascii="Bookman Old Style" w:hAnsi="Bookman Old Style"/>
        </w:rPr>
        <w:t>realta</w:t>
      </w:r>
      <w:proofErr w:type="spellEnd"/>
      <w:r w:rsidRPr="00524F9C">
        <w:rPr>
          <w:rFonts w:ascii="Bookman Old Style" w:hAnsi="Bookman Old Style"/>
        </w:rPr>
        <w:t xml:space="preserve">̀ associative di valorizzazione del territorio; </w:t>
      </w:r>
    </w:p>
    <w:p w:rsidR="00BD2E9A" w:rsidRPr="00524F9C" w:rsidRDefault="00BD2E9A" w:rsidP="00524F9C">
      <w:pPr>
        <w:pStyle w:val="Paragrafoelenco"/>
        <w:numPr>
          <w:ilvl w:val="0"/>
          <w:numId w:val="1"/>
        </w:numPr>
        <w:spacing w:after="120"/>
        <w:ind w:left="357" w:hanging="357"/>
        <w:contextualSpacing w:val="0"/>
        <w:jc w:val="both"/>
        <w:rPr>
          <w:rFonts w:ascii="Bookman Old Style" w:hAnsi="Bookman Old Style"/>
        </w:rPr>
      </w:pPr>
      <w:r w:rsidRPr="00732F3A">
        <w:rPr>
          <w:rFonts w:ascii="Bookman Old Style" w:hAnsi="Bookman Old Style"/>
          <w:b/>
          <w:bCs/>
        </w:rPr>
        <w:t>l’attivazione</w:t>
      </w:r>
      <w:r w:rsidR="00732F3A" w:rsidRPr="00732F3A">
        <w:rPr>
          <w:rFonts w:ascii="Bookman Old Style" w:hAnsi="Bookman Old Style"/>
          <w:b/>
          <w:bCs/>
        </w:rPr>
        <w:t xml:space="preserve"> di</w:t>
      </w:r>
      <w:r w:rsidRPr="00732F3A">
        <w:rPr>
          <w:rFonts w:ascii="Bookman Old Style" w:hAnsi="Bookman Old Style"/>
          <w:b/>
          <w:bCs/>
        </w:rPr>
        <w:t xml:space="preserve"> interventi di ricerca-azione volti ad individuare i terreni pubblici e privati silenti e/o gravati da usi civici</w:t>
      </w:r>
      <w:r w:rsidRPr="00524F9C">
        <w:rPr>
          <w:rFonts w:ascii="Bookman Old Style" w:hAnsi="Bookman Old Style"/>
        </w:rPr>
        <w:t xml:space="preserve">, da mettere a disposizione dei giovani contadini del terzo millennio per favorirne l’insediamento e prevedere anche forme di accompagnamento all’impresa (sia economici che professionali), anche sostenendo la realizzazione di un insediamento “tipo” / centro di eccellenza e formazione alla progettazione in </w:t>
      </w:r>
      <w:proofErr w:type="spellStart"/>
      <w:r w:rsidRPr="00524F9C">
        <w:rPr>
          <w:rFonts w:ascii="Bookman Old Style" w:hAnsi="Bookman Old Style"/>
        </w:rPr>
        <w:t>Permacultura</w:t>
      </w:r>
      <w:proofErr w:type="spellEnd"/>
      <w:r w:rsidRPr="00524F9C">
        <w:rPr>
          <w:rFonts w:ascii="Bookman Old Style" w:hAnsi="Bookman Old Style"/>
        </w:rPr>
        <w:t xml:space="preserve"> / Agricoltura Rigenerativa. </w:t>
      </w:r>
    </w:p>
    <w:p w:rsidR="00524F9C" w:rsidRDefault="00524F9C"/>
    <w:p w:rsidR="00524F9C" w:rsidRPr="000E5787" w:rsidRDefault="00524F9C" w:rsidP="000E5787">
      <w:pPr>
        <w:pStyle w:val="Titolo2"/>
        <w:numPr>
          <w:ilvl w:val="0"/>
          <w:numId w:val="13"/>
        </w:numPr>
        <w:rPr>
          <w:b/>
          <w:bCs/>
          <w:sz w:val="28"/>
          <w:szCs w:val="28"/>
        </w:rPr>
      </w:pPr>
      <w:bookmarkStart w:id="6" w:name="_Toc42609814"/>
      <w:r w:rsidRPr="000E5787">
        <w:rPr>
          <w:b/>
          <w:bCs/>
          <w:sz w:val="28"/>
          <w:szCs w:val="28"/>
        </w:rPr>
        <w:t>Le semplificazioni amministrative</w:t>
      </w:r>
      <w:bookmarkEnd w:id="6"/>
    </w:p>
    <w:p w:rsidR="00332688" w:rsidRDefault="00332688" w:rsidP="00193A63">
      <w:pPr>
        <w:shd w:val="clear" w:color="auto" w:fill="FFFFFF"/>
        <w:spacing w:after="120"/>
        <w:jc w:val="both"/>
        <w:rPr>
          <w:rFonts w:ascii="Bookman Old Style" w:hAnsi="Bookman Old Style"/>
        </w:rPr>
      </w:pPr>
      <w:r>
        <w:rPr>
          <w:rFonts w:ascii="Bookman Old Style" w:hAnsi="Bookman Old Style"/>
        </w:rPr>
        <w:t>La presenza degli Sportelli Unici per le Attività Produttive è ormai un dato di fatto per tutti i Comuni (in base agli ultimi dati rilasciati dal Ministero dello sviluppo economico il 99% del Comuni ha un SUAP accreditato). L’ANCI è consapevole che a questo dato non sempre si accompagna una corrispondente capacità operativa, a prescindere dalla forma di gestione scelta (accordi e deleghe alle Camere di Commercio con utilizzo della piattaforma impresainungiorno.it, sistemi propri, aggancio a sistemi regionali).</w:t>
      </w:r>
    </w:p>
    <w:p w:rsidR="00A9077F" w:rsidRDefault="00332688" w:rsidP="00193A63">
      <w:pPr>
        <w:shd w:val="clear" w:color="auto" w:fill="FFFFFF"/>
        <w:spacing w:after="120"/>
        <w:jc w:val="both"/>
        <w:rPr>
          <w:rFonts w:ascii="Bookman Old Style" w:hAnsi="Bookman Old Style"/>
        </w:rPr>
      </w:pPr>
      <w:r>
        <w:rPr>
          <w:rFonts w:ascii="Bookman Old Style" w:hAnsi="Bookman Old Style"/>
        </w:rPr>
        <w:t xml:space="preserve">Il percorso delineato </w:t>
      </w:r>
      <w:r w:rsidR="00A9077F">
        <w:rPr>
          <w:rFonts w:ascii="Bookman Old Style" w:hAnsi="Bookman Old Style"/>
        </w:rPr>
        <w:t>d</w:t>
      </w:r>
      <w:r w:rsidR="00A9077F" w:rsidRPr="003A5385">
        <w:rPr>
          <w:rFonts w:ascii="Bookman Old Style" w:hAnsi="Bookman Old Style" w:cstheme="minorHAnsi"/>
        </w:rPr>
        <w:t xml:space="preserve">al </w:t>
      </w:r>
      <w:r w:rsidR="00A9077F" w:rsidRPr="003A5385">
        <w:rPr>
          <w:rStyle w:val="linkneltesto"/>
          <w:rFonts w:ascii="Bookman Old Style" w:hAnsi="Bookman Old Style" w:cstheme="minorHAnsi"/>
        </w:rPr>
        <w:t>d</w:t>
      </w:r>
      <w:r w:rsidR="00A9077F">
        <w:rPr>
          <w:rStyle w:val="linkneltesto"/>
          <w:rFonts w:ascii="Bookman Old Style" w:hAnsi="Bookman Old Style" w:cstheme="minorHAnsi"/>
        </w:rPr>
        <w:t xml:space="preserve">. lgs. </w:t>
      </w:r>
      <w:r w:rsidR="00A9077F" w:rsidRPr="003A5385">
        <w:rPr>
          <w:rStyle w:val="linkneltesto"/>
          <w:rFonts w:ascii="Bookman Old Style" w:hAnsi="Bookman Old Style" w:cstheme="minorHAnsi"/>
        </w:rPr>
        <w:t>n. 59/2010</w:t>
      </w:r>
      <w:r w:rsidR="00A9077F" w:rsidRPr="003A5385">
        <w:rPr>
          <w:rFonts w:ascii="Bookman Old Style" w:hAnsi="Bookman Old Style" w:cstheme="minorHAnsi"/>
        </w:rPr>
        <w:t xml:space="preserve"> (di attuazione </w:t>
      </w:r>
      <w:r w:rsidR="00A9077F" w:rsidRPr="003A5385">
        <w:rPr>
          <w:rFonts w:ascii="Bookman Old Style" w:hAnsi="Bookman Old Style" w:cstheme="minorHAnsi"/>
          <w:color w:val="000000"/>
        </w:rPr>
        <w:t>della direttiva 2006/123/CE relativa ai servizi nel mercato interno</w:t>
      </w:r>
      <w:r w:rsidR="00A9077F">
        <w:rPr>
          <w:rFonts w:ascii="Bookman Old Style" w:hAnsi="Bookman Old Style" w:cstheme="minorHAnsi"/>
          <w:color w:val="000000"/>
        </w:rPr>
        <w:t>) e</w:t>
      </w:r>
      <w:r w:rsidR="00A9077F">
        <w:rPr>
          <w:rFonts w:ascii="Bookman Old Style" w:hAnsi="Bookman Old Style"/>
        </w:rPr>
        <w:t xml:space="preserve"> </w:t>
      </w:r>
      <w:r>
        <w:rPr>
          <w:rFonts w:ascii="Bookman Old Style" w:hAnsi="Bookman Old Style"/>
        </w:rPr>
        <w:t>dal DPR 160/2010 è però ormai ampiamente tracciato</w:t>
      </w:r>
      <w:r w:rsidR="00A9077F">
        <w:rPr>
          <w:rFonts w:ascii="Bookman Old Style" w:hAnsi="Bookman Old Style"/>
        </w:rPr>
        <w:t>, così come le azioni di standardizzazione</w:t>
      </w:r>
      <w:r w:rsidR="00F93576">
        <w:rPr>
          <w:rFonts w:ascii="Bookman Old Style" w:hAnsi="Bookman Old Style"/>
        </w:rPr>
        <w:t xml:space="preserve"> -</w:t>
      </w:r>
      <w:r w:rsidR="00A9077F">
        <w:rPr>
          <w:rFonts w:ascii="Bookman Old Style" w:hAnsi="Bookman Old Style"/>
        </w:rPr>
        <w:t xml:space="preserve"> a partire dall’importante lavoro di definizione e adozione della modulistica unificata svolto in questi anni da Presidenza del Consiglio, Comuni e Regioni</w:t>
      </w:r>
      <w:r w:rsidR="00F93576">
        <w:rPr>
          <w:rFonts w:ascii="Bookman Old Style" w:hAnsi="Bookman Old Style"/>
        </w:rPr>
        <w:t xml:space="preserve"> -</w:t>
      </w:r>
      <w:r w:rsidR="00A9077F">
        <w:rPr>
          <w:rFonts w:ascii="Bookman Old Style" w:hAnsi="Bookman Old Style"/>
        </w:rPr>
        <w:t xml:space="preserve"> che vanno proseguite. E’ necessario dunque </w:t>
      </w:r>
      <w:r w:rsidR="00A9077F" w:rsidRPr="00F93576">
        <w:rPr>
          <w:rFonts w:ascii="Bookman Old Style" w:hAnsi="Bookman Old Style"/>
          <w:b/>
          <w:bCs/>
        </w:rPr>
        <w:t>continuare a lavorare in direzione del potenziamento e efficientamento degli SUAP</w:t>
      </w:r>
      <w:r w:rsidR="00A9077F">
        <w:rPr>
          <w:rFonts w:ascii="Bookman Old Style" w:hAnsi="Bookman Old Style"/>
        </w:rPr>
        <w:t xml:space="preserve">, anche partendo dagli elementi di criticità evidenziati dalla procedura d’infrazione </w:t>
      </w:r>
      <w:r w:rsidR="00A9077F" w:rsidRPr="003A5385">
        <w:rPr>
          <w:rFonts w:ascii="Bookman Old Style" w:hAnsi="Bookman Old Style" w:cstheme="minorHAnsi"/>
        </w:rPr>
        <w:t>n. 2018/2374</w:t>
      </w:r>
      <w:r w:rsidR="00A9077F">
        <w:rPr>
          <w:rFonts w:ascii="Bookman Old Style" w:hAnsi="Bookman Old Style" w:cstheme="minorHAnsi"/>
        </w:rPr>
        <w:t xml:space="preserve"> </w:t>
      </w:r>
      <w:r w:rsidR="00A9077F">
        <w:rPr>
          <w:rFonts w:ascii="Bookman Old Style" w:hAnsi="Bookman Old Style"/>
        </w:rPr>
        <w:t>notificata dalla Commissione Europea all’Italia.</w:t>
      </w:r>
    </w:p>
    <w:p w:rsidR="00A9077F" w:rsidRDefault="00A9077F" w:rsidP="00193A63">
      <w:pPr>
        <w:shd w:val="clear" w:color="auto" w:fill="FFFFFF"/>
        <w:spacing w:after="120"/>
        <w:jc w:val="both"/>
        <w:rPr>
          <w:rFonts w:ascii="Bookman Old Style" w:hAnsi="Bookman Old Style"/>
        </w:rPr>
      </w:pPr>
      <w:r>
        <w:rPr>
          <w:rFonts w:ascii="Bookman Old Style" w:hAnsi="Bookman Old Style"/>
        </w:rPr>
        <w:t>Quale riferimento logico sul quale basare le future azioni di semplificazione amministrativa – sempre tenendo a mente la completa liberalizzaz</w:t>
      </w:r>
      <w:r w:rsidR="0013013E">
        <w:rPr>
          <w:rFonts w:ascii="Bookman Old Style" w:hAnsi="Bookman Old Style"/>
        </w:rPr>
        <w:t>i</w:t>
      </w:r>
      <w:r>
        <w:rPr>
          <w:rFonts w:ascii="Bookman Old Style" w:hAnsi="Bookman Old Style"/>
        </w:rPr>
        <w:t>one inerente l’</w:t>
      </w:r>
      <w:r w:rsidR="0013013E">
        <w:rPr>
          <w:rFonts w:ascii="Bookman Old Style" w:hAnsi="Bookman Old Style"/>
        </w:rPr>
        <w:t>a</w:t>
      </w:r>
      <w:r>
        <w:rPr>
          <w:rFonts w:ascii="Bookman Old Style" w:hAnsi="Bookman Old Style"/>
        </w:rPr>
        <w:t>vvio di impres</w:t>
      </w:r>
      <w:r w:rsidR="00F93576">
        <w:rPr>
          <w:rFonts w:ascii="Bookman Old Style" w:hAnsi="Bookman Old Style"/>
        </w:rPr>
        <w:t>a</w:t>
      </w:r>
      <w:r>
        <w:rPr>
          <w:rFonts w:ascii="Bookman Old Style" w:hAnsi="Bookman Old Style"/>
        </w:rPr>
        <w:t xml:space="preserve"> </w:t>
      </w:r>
      <w:r w:rsidR="0013013E">
        <w:rPr>
          <w:rFonts w:ascii="Bookman Old Style" w:hAnsi="Bookman Old Style"/>
        </w:rPr>
        <w:t xml:space="preserve">vigente in Italia - </w:t>
      </w:r>
      <w:r>
        <w:rPr>
          <w:rFonts w:ascii="Bookman Old Style" w:hAnsi="Bookman Old Style"/>
        </w:rPr>
        <w:t xml:space="preserve">a parere dell’ANCI si deve </w:t>
      </w:r>
      <w:r w:rsidRPr="00F93576">
        <w:rPr>
          <w:rFonts w:ascii="Bookman Old Style" w:hAnsi="Bookman Old Style"/>
          <w:b/>
          <w:bCs/>
        </w:rPr>
        <w:t>im</w:t>
      </w:r>
      <w:r w:rsidR="0013013E" w:rsidRPr="00F93576">
        <w:rPr>
          <w:rFonts w:ascii="Bookman Old Style" w:hAnsi="Bookman Old Style"/>
          <w:b/>
          <w:bCs/>
        </w:rPr>
        <w:t>b</w:t>
      </w:r>
      <w:r w:rsidRPr="00F93576">
        <w:rPr>
          <w:rFonts w:ascii="Bookman Old Style" w:hAnsi="Bookman Old Style"/>
          <w:b/>
          <w:bCs/>
        </w:rPr>
        <w:t>occare con decisione quello dello spostamento dell’attenzion</w:t>
      </w:r>
      <w:r w:rsidR="0013013E" w:rsidRPr="00F93576">
        <w:rPr>
          <w:rFonts w:ascii="Bookman Old Style" w:hAnsi="Bookman Old Style"/>
          <w:b/>
          <w:bCs/>
        </w:rPr>
        <w:t>e</w:t>
      </w:r>
      <w:r w:rsidRPr="00F93576">
        <w:rPr>
          <w:rFonts w:ascii="Bookman Old Style" w:hAnsi="Bookman Old Style"/>
          <w:b/>
          <w:bCs/>
        </w:rPr>
        <w:t xml:space="preserve"> e dell</w:t>
      </w:r>
      <w:r w:rsidR="0013013E" w:rsidRPr="00F93576">
        <w:rPr>
          <w:rFonts w:ascii="Bookman Old Style" w:hAnsi="Bookman Old Style"/>
          <w:b/>
          <w:bCs/>
        </w:rPr>
        <w:t>’</w:t>
      </w:r>
      <w:r w:rsidRPr="00F93576">
        <w:rPr>
          <w:rFonts w:ascii="Bookman Old Style" w:hAnsi="Bookman Old Style"/>
          <w:b/>
          <w:bCs/>
        </w:rPr>
        <w:t>azione amministrativa dalla fase di verifica preventiva a quella d</w:t>
      </w:r>
      <w:r w:rsidR="0013013E" w:rsidRPr="00F93576">
        <w:rPr>
          <w:rFonts w:ascii="Bookman Old Style" w:hAnsi="Bookman Old Style"/>
          <w:b/>
          <w:bCs/>
        </w:rPr>
        <w:t>el</w:t>
      </w:r>
      <w:r w:rsidRPr="00F93576">
        <w:rPr>
          <w:rFonts w:ascii="Bookman Old Style" w:hAnsi="Bookman Old Style"/>
          <w:b/>
          <w:bCs/>
        </w:rPr>
        <w:t xml:space="preserve"> controllo</w:t>
      </w:r>
      <w:r w:rsidR="0013013E">
        <w:rPr>
          <w:rFonts w:ascii="Bookman Old Style" w:hAnsi="Bookman Old Style"/>
        </w:rPr>
        <w:t>, riprendendo e aggiornando il lavoro già avviato con la definizione delle “Linee guida in materia di controlli” approvate in sede di Conferenza Unificata il 23 gennaio 2013.</w:t>
      </w:r>
    </w:p>
    <w:p w:rsidR="0013013E" w:rsidRDefault="0013013E" w:rsidP="00193A63">
      <w:pPr>
        <w:shd w:val="clear" w:color="auto" w:fill="FFFFFF"/>
        <w:spacing w:after="120"/>
        <w:jc w:val="both"/>
        <w:rPr>
          <w:rFonts w:ascii="Bookman Old Style" w:hAnsi="Bookman Old Style"/>
        </w:rPr>
      </w:pPr>
      <w:r>
        <w:rPr>
          <w:rFonts w:ascii="Bookman Old Style" w:hAnsi="Bookman Old Style"/>
        </w:rPr>
        <w:lastRenderedPageBreak/>
        <w:t xml:space="preserve">Inoltre, va sfruttata l’occasione del lavoro attualmente in corso per la definizione degli obblighi informativi, sulle procedure e sui servizi di assistenza per l’attivazione del Single Digital Gateway (Reg. UE 1724/2018) per </w:t>
      </w:r>
      <w:r w:rsidRPr="00F93576">
        <w:rPr>
          <w:rFonts w:ascii="Bookman Old Style" w:hAnsi="Bookman Old Style"/>
          <w:b/>
          <w:bCs/>
        </w:rPr>
        <w:t>supportare i Comuni nelle attività di integrazione e scambio dati con le diverse autorità competenti</w:t>
      </w:r>
      <w:r w:rsidR="007A3953">
        <w:rPr>
          <w:rFonts w:ascii="Bookman Old Style" w:hAnsi="Bookman Old Style"/>
        </w:rPr>
        <w:t>, diminuendo di conseguenza il peso “documentale” a carico del privato,</w:t>
      </w:r>
      <w:r>
        <w:rPr>
          <w:rFonts w:ascii="Bookman Old Style" w:hAnsi="Bookman Old Style"/>
        </w:rPr>
        <w:t xml:space="preserve"> e di interoperabilità fra SUAP stessi.</w:t>
      </w:r>
    </w:p>
    <w:p w:rsidR="0013013E" w:rsidRDefault="0013013E" w:rsidP="00193A63">
      <w:pPr>
        <w:shd w:val="clear" w:color="auto" w:fill="FFFFFF"/>
        <w:spacing w:after="120"/>
        <w:jc w:val="both"/>
        <w:rPr>
          <w:rFonts w:ascii="Bookman Old Style" w:hAnsi="Bookman Old Style"/>
        </w:rPr>
      </w:pPr>
    </w:p>
    <w:p w:rsidR="009E6EEB" w:rsidRDefault="009E6EEB">
      <w:pPr>
        <w:rPr>
          <w:rFonts w:ascii="Bookman Old Style" w:hAnsi="Bookman Old Style"/>
        </w:rPr>
      </w:pPr>
      <w:r>
        <w:rPr>
          <w:rFonts w:ascii="Bookman Old Style" w:hAnsi="Bookman Old Style"/>
        </w:rPr>
        <w:br w:type="page"/>
      </w:r>
    </w:p>
    <w:p w:rsidR="00A9077F" w:rsidRPr="009E6EEB" w:rsidRDefault="009E6EEB" w:rsidP="00193A63">
      <w:pPr>
        <w:shd w:val="clear" w:color="auto" w:fill="FFFFFF"/>
        <w:spacing w:after="120"/>
        <w:jc w:val="both"/>
        <w:rPr>
          <w:rFonts w:ascii="Bookman Old Style" w:hAnsi="Bookman Old Style"/>
          <w:sz w:val="28"/>
          <w:szCs w:val="28"/>
        </w:rPr>
      </w:pPr>
      <w:r w:rsidRPr="009E6EEB">
        <w:rPr>
          <w:rFonts w:ascii="Bookman Old Style" w:hAnsi="Bookman Old Style"/>
          <w:sz w:val="28"/>
          <w:szCs w:val="28"/>
        </w:rPr>
        <w:lastRenderedPageBreak/>
        <w:t>ALLEGATO 1</w:t>
      </w:r>
    </w:p>
    <w:p w:rsidR="009E6EEB" w:rsidRDefault="009E6EEB" w:rsidP="00193A63">
      <w:pPr>
        <w:shd w:val="clear" w:color="auto" w:fill="FFFFFF"/>
        <w:spacing w:after="120"/>
        <w:jc w:val="both"/>
        <w:rPr>
          <w:rFonts w:ascii="Bookman Old Style" w:hAnsi="Bookman Old Style"/>
        </w:rPr>
      </w:pPr>
    </w:p>
    <w:p w:rsidR="009E6EEB" w:rsidRPr="009C1C03" w:rsidRDefault="009E6EEB" w:rsidP="009E6EEB">
      <w:pPr>
        <w:tabs>
          <w:tab w:val="left" w:pos="4260"/>
        </w:tabs>
        <w:jc w:val="center"/>
        <w:rPr>
          <w:rFonts w:ascii="Bookman Old Style" w:hAnsi="Bookman Old Style"/>
        </w:rPr>
      </w:pPr>
      <w:r w:rsidRPr="009C1C03">
        <w:rPr>
          <w:rFonts w:ascii="Bookman Old Style" w:hAnsi="Bookman Old Style"/>
          <w:noProof/>
          <w:lang w:eastAsia="it-IT"/>
        </w:rPr>
        <w:drawing>
          <wp:inline distT="0" distB="0" distL="0" distR="0" wp14:anchorId="3024D853" wp14:editId="108BB70E">
            <wp:extent cx="648000" cy="957915"/>
            <wp:effectExtent l="0" t="0" r="0" b="0"/>
            <wp:docPr id="1084872588"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9">
                      <a:extLst>
                        <a:ext uri="{28A0092B-C50C-407E-A947-70E740481C1C}">
                          <a14:useLocalDpi xmlns:a14="http://schemas.microsoft.com/office/drawing/2010/main" val="0"/>
                        </a:ext>
                      </a:extLst>
                    </a:blip>
                    <a:stretch>
                      <a:fillRect/>
                    </a:stretch>
                  </pic:blipFill>
                  <pic:spPr>
                    <a:xfrm>
                      <a:off x="0" y="0"/>
                      <a:ext cx="648000" cy="957915"/>
                    </a:xfrm>
                    <a:prstGeom prst="rect">
                      <a:avLst/>
                    </a:prstGeom>
                  </pic:spPr>
                </pic:pic>
              </a:graphicData>
            </a:graphic>
          </wp:inline>
        </w:drawing>
      </w:r>
    </w:p>
    <w:p w:rsidR="009E6EEB" w:rsidRPr="009C1C03" w:rsidRDefault="009E6EEB" w:rsidP="009E6EEB">
      <w:pPr>
        <w:tabs>
          <w:tab w:val="left" w:pos="4260"/>
        </w:tabs>
        <w:jc w:val="center"/>
        <w:rPr>
          <w:rFonts w:ascii="Bookman Old Style" w:hAnsi="Bookman Old Style"/>
        </w:rPr>
      </w:pPr>
    </w:p>
    <w:p w:rsidR="009E6EEB" w:rsidRPr="009C1C03" w:rsidRDefault="009E6EEB" w:rsidP="009E6EEB">
      <w:pPr>
        <w:tabs>
          <w:tab w:val="left" w:pos="4260"/>
        </w:tabs>
        <w:jc w:val="center"/>
        <w:rPr>
          <w:rFonts w:ascii="Bookman Old Style" w:hAnsi="Bookman Old Style"/>
          <w:b/>
          <w:bCs/>
        </w:rPr>
      </w:pPr>
      <w:r w:rsidRPr="009C1C03">
        <w:rPr>
          <w:rFonts w:ascii="Bookman Old Style" w:hAnsi="Bookman Old Style"/>
          <w:b/>
          <w:bCs/>
        </w:rPr>
        <w:t>PROPOSTA DI EMENDAMENTO</w:t>
      </w:r>
    </w:p>
    <w:p w:rsidR="009E6EEB" w:rsidRPr="009C1C03" w:rsidRDefault="009E6EEB" w:rsidP="009E6EEB">
      <w:pPr>
        <w:tabs>
          <w:tab w:val="left" w:pos="4260"/>
        </w:tabs>
        <w:jc w:val="center"/>
        <w:rPr>
          <w:rFonts w:ascii="Bookman Old Style" w:hAnsi="Bookman Old Style"/>
          <w:b/>
          <w:bCs/>
        </w:rPr>
      </w:pPr>
    </w:p>
    <w:p w:rsidR="009E6EEB" w:rsidRPr="009C1C03" w:rsidRDefault="009E6EEB" w:rsidP="009E6EEB">
      <w:pPr>
        <w:ind w:left="720" w:hanging="360"/>
        <w:jc w:val="center"/>
        <w:rPr>
          <w:rFonts w:ascii="Bookman Old Style" w:hAnsi="Bookman Old Style"/>
          <w:b/>
          <w:bCs/>
          <w:sz w:val="24"/>
          <w:szCs w:val="24"/>
        </w:rPr>
      </w:pPr>
      <w:r w:rsidRPr="009C1C03">
        <w:rPr>
          <w:rFonts w:ascii="Bookman Old Style" w:hAnsi="Bookman Old Style"/>
          <w:b/>
          <w:bCs/>
          <w:sz w:val="24"/>
          <w:szCs w:val="24"/>
        </w:rPr>
        <w:t>AC 2500</w:t>
      </w:r>
    </w:p>
    <w:p w:rsidR="009E6EEB" w:rsidRPr="009C1C03" w:rsidRDefault="009E6EEB" w:rsidP="009E6EEB">
      <w:pPr>
        <w:ind w:left="720" w:hanging="360"/>
        <w:jc w:val="center"/>
        <w:rPr>
          <w:rFonts w:ascii="Bookman Old Style" w:hAnsi="Bookman Old Style"/>
          <w:b/>
          <w:bCs/>
          <w:i/>
          <w:iCs/>
          <w:sz w:val="24"/>
          <w:szCs w:val="24"/>
        </w:rPr>
      </w:pPr>
      <w:r w:rsidRPr="009C1C03">
        <w:rPr>
          <w:rFonts w:ascii="Bookman Old Style" w:hAnsi="Bookman Old Style"/>
          <w:b/>
          <w:bCs/>
          <w:i/>
          <w:iCs/>
          <w:sz w:val="24"/>
          <w:szCs w:val="24"/>
        </w:rPr>
        <w:t>Conversione in legge del decreto legge 19 maggio 2020, n. 34, recante “Misure urgenti in materia di salute, sostegno al lavoro e all’economia, nonché di politiche sociali connesse all’emergenza epidemiologica da COVID-19”</w:t>
      </w:r>
    </w:p>
    <w:p w:rsidR="009E6EEB" w:rsidRPr="009C1C03" w:rsidRDefault="009E6EEB" w:rsidP="009E6EEB">
      <w:pPr>
        <w:pStyle w:val="NormaleWeb"/>
        <w:shd w:val="clear" w:color="auto" w:fill="FFFFFF"/>
        <w:spacing w:before="0" w:beforeAutospacing="0" w:after="0" w:afterAutospacing="0"/>
        <w:rPr>
          <w:rFonts w:ascii="Bookman Old Style" w:hAnsi="Bookman Old Style" w:cs="Calibri"/>
          <w:color w:val="323130"/>
          <w:sz w:val="22"/>
          <w:szCs w:val="22"/>
        </w:rPr>
      </w:pPr>
    </w:p>
    <w:p w:rsidR="009E6EEB" w:rsidRDefault="009E6EEB" w:rsidP="009E6EEB">
      <w:pPr>
        <w:pStyle w:val="NormaleWeb"/>
        <w:shd w:val="clear" w:color="auto" w:fill="FFFFFF"/>
        <w:spacing w:before="0" w:beforeAutospacing="0" w:after="0" w:afterAutospacing="0"/>
        <w:rPr>
          <w:rFonts w:ascii="Bookman Old Style" w:hAnsi="Bookman Old Style"/>
          <w:b/>
        </w:rPr>
      </w:pPr>
      <w:bookmarkStart w:id="7" w:name="_Toc42089250"/>
    </w:p>
    <w:p w:rsidR="009E6EEB" w:rsidRDefault="009E6EEB" w:rsidP="009E6EEB">
      <w:pPr>
        <w:pStyle w:val="NormaleWeb"/>
        <w:shd w:val="clear" w:color="auto" w:fill="FFFFFF"/>
        <w:spacing w:before="0" w:beforeAutospacing="0" w:after="0" w:afterAutospacing="0"/>
        <w:rPr>
          <w:rFonts w:ascii="Bookman Old Style" w:hAnsi="Bookman Old Style"/>
          <w:b/>
        </w:rPr>
      </w:pPr>
    </w:p>
    <w:bookmarkEnd w:id="7"/>
    <w:p w:rsidR="009E6EEB" w:rsidRPr="009C1C03" w:rsidRDefault="009E6EEB" w:rsidP="009E6EEB">
      <w:pPr>
        <w:pStyle w:val="NormaleWeb"/>
        <w:shd w:val="clear" w:color="auto" w:fill="FFFFFF"/>
        <w:spacing w:before="0" w:beforeAutospacing="0" w:after="0" w:afterAutospacing="0"/>
        <w:rPr>
          <w:rFonts w:ascii="Bookman Old Style" w:hAnsi="Bookman Old Style" w:cs="Calibri"/>
          <w:color w:val="323130"/>
          <w:sz w:val="22"/>
          <w:szCs w:val="22"/>
        </w:rPr>
      </w:pPr>
    </w:p>
    <w:p w:rsidR="009E6EEB" w:rsidRDefault="009E6EEB" w:rsidP="009E6EEB">
      <w:pPr>
        <w:pStyle w:val="NormaleWeb"/>
        <w:shd w:val="clear" w:color="auto" w:fill="FFFFFF"/>
        <w:spacing w:before="0" w:beforeAutospacing="0" w:after="0" w:afterAutospacing="0"/>
        <w:rPr>
          <w:rFonts w:ascii="Bookman Old Style" w:hAnsi="Bookman Old Style" w:cs="Calibri"/>
          <w:i/>
          <w:color w:val="323130"/>
          <w:sz w:val="22"/>
          <w:szCs w:val="22"/>
        </w:rPr>
      </w:pPr>
      <w:r>
        <w:rPr>
          <w:rFonts w:ascii="Bookman Old Style" w:hAnsi="Bookman Old Style" w:cs="Calibri"/>
          <w:i/>
          <w:color w:val="323130"/>
          <w:sz w:val="22"/>
          <w:szCs w:val="22"/>
        </w:rPr>
        <w:t>Aggiungere il seguente articolo:</w:t>
      </w:r>
    </w:p>
    <w:p w:rsidR="009E6EEB" w:rsidRDefault="009E6EEB" w:rsidP="009E6EEB">
      <w:pPr>
        <w:pStyle w:val="NormaleWeb"/>
        <w:shd w:val="clear" w:color="auto" w:fill="FFFFFF"/>
        <w:spacing w:before="0" w:beforeAutospacing="0" w:after="0" w:afterAutospacing="0"/>
        <w:rPr>
          <w:rFonts w:ascii="Bookman Old Style" w:hAnsi="Bookman Old Style" w:cs="Calibri"/>
          <w:i/>
          <w:color w:val="323130"/>
          <w:sz w:val="22"/>
          <w:szCs w:val="22"/>
        </w:rPr>
      </w:pPr>
    </w:p>
    <w:p w:rsidR="009E6EEB" w:rsidRPr="009C1C03" w:rsidRDefault="009E6EEB" w:rsidP="009E6EEB">
      <w:pPr>
        <w:pStyle w:val="NormaleWeb"/>
        <w:shd w:val="clear" w:color="auto" w:fill="FFFFFF"/>
        <w:spacing w:before="0" w:beforeAutospacing="0" w:after="0" w:afterAutospacing="0"/>
        <w:jc w:val="center"/>
        <w:rPr>
          <w:rFonts w:ascii="Bookman Old Style" w:hAnsi="Bookman Old Style" w:cs="Calibri"/>
          <w:b/>
          <w:color w:val="323130"/>
          <w:sz w:val="22"/>
          <w:szCs w:val="22"/>
        </w:rPr>
      </w:pPr>
      <w:r w:rsidRPr="009C1C03">
        <w:rPr>
          <w:rFonts w:ascii="Bookman Old Style" w:hAnsi="Bookman Old Style"/>
          <w:b/>
        </w:rPr>
        <w:t>Fondo per Comuni ad alta vocazione turistica</w:t>
      </w:r>
    </w:p>
    <w:p w:rsidR="009E6EEB" w:rsidRDefault="009E6EEB" w:rsidP="009E6EEB">
      <w:pPr>
        <w:pStyle w:val="NormaleWeb"/>
        <w:shd w:val="clear" w:color="auto" w:fill="FFFFFF"/>
        <w:spacing w:before="0" w:beforeAutospacing="0" w:after="0" w:afterAutospacing="0"/>
        <w:rPr>
          <w:rFonts w:ascii="Bookman Old Style" w:hAnsi="Bookman Old Style" w:cs="Calibri"/>
          <w:i/>
          <w:color w:val="323130"/>
          <w:sz w:val="22"/>
          <w:szCs w:val="22"/>
        </w:rPr>
      </w:pPr>
    </w:p>
    <w:p w:rsidR="009E6EEB" w:rsidRPr="009C1C03" w:rsidRDefault="009E6EEB" w:rsidP="009E6EEB">
      <w:pPr>
        <w:pStyle w:val="NormaleWeb"/>
        <w:shd w:val="clear" w:color="auto" w:fill="FFFFFF"/>
        <w:spacing w:before="0" w:beforeAutospacing="0" w:after="0" w:afterAutospacing="0"/>
        <w:rPr>
          <w:rFonts w:ascii="Bookman Old Style" w:hAnsi="Bookman Old Style" w:cs="Calibri"/>
          <w:i/>
          <w:color w:val="323130"/>
          <w:sz w:val="22"/>
          <w:szCs w:val="22"/>
        </w:rPr>
      </w:pPr>
    </w:p>
    <w:p w:rsidR="009E6EEB" w:rsidRPr="009C1C03" w:rsidRDefault="009E6EEB" w:rsidP="009E6EEB">
      <w:pPr>
        <w:pStyle w:val="NormaleWeb"/>
        <w:shd w:val="clear" w:color="auto" w:fill="FFFFFF"/>
        <w:spacing w:before="0" w:beforeAutospacing="0" w:after="0" w:afterAutospacing="0"/>
        <w:jc w:val="both"/>
        <w:rPr>
          <w:rFonts w:ascii="Bookman Old Style" w:hAnsi="Bookman Old Style" w:cs="Calibri"/>
          <w:color w:val="323130"/>
          <w:sz w:val="22"/>
          <w:szCs w:val="22"/>
        </w:rPr>
      </w:pPr>
      <w:r w:rsidRPr="009C1C03">
        <w:rPr>
          <w:rFonts w:ascii="Bookman Old Style" w:hAnsi="Bookman Old Style" w:cs="Calibri"/>
          <w:color w:val="323130"/>
          <w:sz w:val="22"/>
          <w:szCs w:val="22"/>
        </w:rPr>
        <w:t>1.            Nei Comuni ad alta vocazione turistica di cui al comma 1bis dell’articolo 4 del decreto legislativo 4 marzo 2011, n. 23, sono istituite “zone rosse economiche”  ed è destinato, per l’anno 2020,  un fondo, nella disponibilità finanziaria del Ministero dell’Interno,  pari a 150</w:t>
      </w:r>
      <w:r>
        <w:rPr>
          <w:rFonts w:ascii="Bookman Old Style" w:hAnsi="Bookman Old Style" w:cs="Calibri"/>
          <w:color w:val="323130"/>
          <w:sz w:val="22"/>
          <w:szCs w:val="22"/>
        </w:rPr>
        <w:t xml:space="preserve"> </w:t>
      </w:r>
      <w:r w:rsidRPr="009C1C03">
        <w:rPr>
          <w:rFonts w:ascii="Bookman Old Style" w:hAnsi="Bookman Old Style" w:cs="Calibri"/>
          <w:color w:val="323130"/>
          <w:sz w:val="22"/>
          <w:szCs w:val="22"/>
        </w:rPr>
        <w:t>milioni di euro quale ristoro del minor gettito derivante dalla grave crisi del settore turistico.</w:t>
      </w:r>
    </w:p>
    <w:p w:rsidR="009E6EEB" w:rsidRPr="009C1C03" w:rsidRDefault="009E6EEB" w:rsidP="009E6EEB">
      <w:pPr>
        <w:pStyle w:val="NormaleWeb"/>
        <w:shd w:val="clear" w:color="auto" w:fill="FFFFFF"/>
        <w:spacing w:before="0" w:beforeAutospacing="0" w:after="0" w:afterAutospacing="0"/>
        <w:jc w:val="both"/>
        <w:rPr>
          <w:rFonts w:ascii="Bookman Old Style" w:hAnsi="Bookman Old Style" w:cs="Calibri"/>
          <w:color w:val="323130"/>
          <w:sz w:val="22"/>
          <w:szCs w:val="22"/>
        </w:rPr>
      </w:pPr>
      <w:r w:rsidRPr="009C1C03">
        <w:rPr>
          <w:rFonts w:ascii="Bookman Old Style" w:hAnsi="Bookman Old Style" w:cs="Calibri"/>
          <w:color w:val="323130"/>
          <w:sz w:val="22"/>
          <w:szCs w:val="22"/>
        </w:rPr>
        <w:t> </w:t>
      </w:r>
    </w:p>
    <w:p w:rsidR="009E6EEB" w:rsidRPr="009C1C03" w:rsidRDefault="009E6EEB" w:rsidP="009E6EEB">
      <w:pPr>
        <w:pStyle w:val="NormaleWeb"/>
        <w:shd w:val="clear" w:color="auto" w:fill="FFFFFF"/>
        <w:spacing w:before="0" w:beforeAutospacing="0" w:after="0" w:afterAutospacing="0"/>
        <w:jc w:val="both"/>
        <w:rPr>
          <w:rFonts w:ascii="Bookman Old Style" w:hAnsi="Bookman Old Style" w:cs="Calibri"/>
          <w:color w:val="323130"/>
          <w:sz w:val="22"/>
          <w:szCs w:val="22"/>
        </w:rPr>
      </w:pPr>
      <w:r w:rsidRPr="009C1C03">
        <w:rPr>
          <w:rFonts w:ascii="Bookman Old Style" w:hAnsi="Bookman Old Style" w:cs="Calibri"/>
          <w:color w:val="323130"/>
          <w:sz w:val="22"/>
          <w:szCs w:val="22"/>
        </w:rPr>
        <w:t>2.            </w:t>
      </w:r>
      <w:r w:rsidRPr="009C1C03">
        <w:rPr>
          <w:rFonts w:ascii="Bookman Old Style" w:hAnsi="Bookman Old Style" w:cs="Calibri"/>
          <w:bCs/>
          <w:color w:val="323130"/>
          <w:sz w:val="22"/>
          <w:szCs w:val="22"/>
        </w:rPr>
        <w:t>Per il solo anno 2020, in deroga al principio statistico di cui al comma 1bis dell'articolo 4 del decreto legislativo n. 23 del 4 marzo 2011, il fondo è distribuito tra i Comuni di cui al comma 1 che</w:t>
      </w:r>
      <w:r>
        <w:rPr>
          <w:rFonts w:ascii="Bookman Old Style" w:hAnsi="Bookman Old Style" w:cs="Calibri"/>
          <w:bCs/>
          <w:color w:val="323130"/>
          <w:sz w:val="22"/>
          <w:szCs w:val="22"/>
        </w:rPr>
        <w:t>,</w:t>
      </w:r>
      <w:r w:rsidRPr="009C1C03">
        <w:rPr>
          <w:rFonts w:ascii="Bookman Old Style" w:hAnsi="Bookman Old Style" w:cs="Calibri"/>
          <w:color w:val="323130"/>
          <w:sz w:val="22"/>
          <w:szCs w:val="22"/>
        </w:rPr>
        <w:t> in base all'ultima rilevazione resa disponibile da parte delle amministrazioni pubbliche competenti per la raccolta e l'elaborazione di dati statistici, abbiano avuto presenze turistiche in numero sette volte superiore a quello dei residenti.</w:t>
      </w:r>
    </w:p>
    <w:p w:rsidR="009E6EEB" w:rsidRPr="009C1C03" w:rsidRDefault="009E6EEB" w:rsidP="009E6EEB">
      <w:pPr>
        <w:pStyle w:val="NormaleWeb"/>
        <w:shd w:val="clear" w:color="auto" w:fill="FFFFFF"/>
        <w:spacing w:before="0" w:beforeAutospacing="0" w:after="0" w:afterAutospacing="0"/>
        <w:jc w:val="both"/>
        <w:rPr>
          <w:rFonts w:ascii="Bookman Old Style" w:hAnsi="Bookman Old Style" w:cs="Calibri"/>
          <w:color w:val="323130"/>
          <w:sz w:val="22"/>
          <w:szCs w:val="22"/>
        </w:rPr>
      </w:pPr>
      <w:r w:rsidRPr="009C1C03">
        <w:rPr>
          <w:rFonts w:ascii="Bookman Old Style" w:hAnsi="Bookman Old Style" w:cs="Calibri"/>
          <w:color w:val="323130"/>
          <w:sz w:val="22"/>
          <w:szCs w:val="22"/>
        </w:rPr>
        <w:t> </w:t>
      </w:r>
    </w:p>
    <w:p w:rsidR="009E6EEB" w:rsidRPr="009C1C03" w:rsidRDefault="009E6EEB" w:rsidP="009E6EEB">
      <w:pPr>
        <w:pStyle w:val="NormaleWeb"/>
        <w:shd w:val="clear" w:color="auto" w:fill="FFFFFF"/>
        <w:spacing w:before="0" w:beforeAutospacing="0" w:after="0" w:afterAutospacing="0"/>
        <w:jc w:val="both"/>
        <w:rPr>
          <w:rFonts w:ascii="Bookman Old Style" w:hAnsi="Bookman Old Style" w:cs="Calibri"/>
          <w:color w:val="323130"/>
          <w:sz w:val="22"/>
          <w:szCs w:val="22"/>
        </w:rPr>
      </w:pPr>
      <w:r w:rsidRPr="009C1C03">
        <w:rPr>
          <w:rFonts w:ascii="Bookman Old Style" w:hAnsi="Bookman Old Style" w:cs="Calibri"/>
          <w:color w:val="323130"/>
          <w:sz w:val="22"/>
          <w:szCs w:val="22"/>
        </w:rPr>
        <w:t>3.            Entro 15 giorni dall’entrata in vigore della presente legge di conversione i comuni di cui ai commi 1 e 2 vengono individuati con decreto del Ministero dell’Interno, di concerto con il MIBACT, previa Intesa in Conferenza Stato Città </w:t>
      </w:r>
      <w:r>
        <w:rPr>
          <w:rFonts w:ascii="Bookman Old Style" w:hAnsi="Bookman Old Style" w:cs="Calibri"/>
          <w:color w:val="323130"/>
          <w:sz w:val="22"/>
          <w:szCs w:val="22"/>
        </w:rPr>
        <w:t>ed Autonomie locali</w:t>
      </w:r>
      <w:r w:rsidRPr="009C1C03">
        <w:rPr>
          <w:rFonts w:ascii="Bookman Old Style" w:hAnsi="Bookman Old Style" w:cs="Calibri"/>
          <w:color w:val="323130"/>
          <w:sz w:val="22"/>
          <w:szCs w:val="22"/>
        </w:rPr>
        <w:t xml:space="preserve"> sulla base di criteri che tengono conto della dimensione dei flussi turistici annui.</w:t>
      </w:r>
    </w:p>
    <w:p w:rsidR="009E6EEB" w:rsidRPr="009C1C03" w:rsidRDefault="009E6EEB" w:rsidP="009E6EEB">
      <w:pPr>
        <w:rPr>
          <w:rFonts w:ascii="Bookman Old Style" w:hAnsi="Bookman Old Style"/>
        </w:rPr>
      </w:pPr>
    </w:p>
    <w:sectPr w:rsidR="009E6EEB" w:rsidRPr="009C1C03" w:rsidSect="00C66EA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570D" w:rsidRDefault="008E570D" w:rsidP="00C66EA9">
      <w:pPr>
        <w:spacing w:after="0" w:line="240" w:lineRule="auto"/>
      </w:pPr>
      <w:r>
        <w:separator/>
      </w:r>
    </w:p>
  </w:endnote>
  <w:endnote w:type="continuationSeparator" w:id="0">
    <w:p w:rsidR="008E570D" w:rsidRDefault="008E570D" w:rsidP="00C6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charset w:val="00"/>
    <w:family w:val="roman"/>
    <w:notTrueType/>
    <w:pitch w:val="default"/>
  </w:font>
  <w:font w:name="BookmanOldStyle-Italic">
    <w:altName w:val="Cambria"/>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842893"/>
      <w:docPartObj>
        <w:docPartGallery w:val="Page Numbers (Bottom of Page)"/>
        <w:docPartUnique/>
      </w:docPartObj>
    </w:sdtPr>
    <w:sdtEndPr/>
    <w:sdtContent>
      <w:p w:rsidR="00C66EA9" w:rsidRDefault="00C66EA9">
        <w:pPr>
          <w:pStyle w:val="Pidipagina"/>
          <w:jc w:val="right"/>
        </w:pPr>
        <w:r>
          <w:fldChar w:fldCharType="begin"/>
        </w:r>
        <w:r>
          <w:instrText>PAGE   \* MERGEFORMAT</w:instrText>
        </w:r>
        <w:r>
          <w:fldChar w:fldCharType="separate"/>
        </w:r>
        <w:r w:rsidR="00FC5FEF">
          <w:rPr>
            <w:noProof/>
          </w:rPr>
          <w:t>9</w:t>
        </w:r>
        <w:r>
          <w:fldChar w:fldCharType="end"/>
        </w:r>
      </w:p>
    </w:sdtContent>
  </w:sdt>
  <w:p w:rsidR="00C66EA9" w:rsidRDefault="00C66E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570D" w:rsidRDefault="008E570D" w:rsidP="00C66EA9">
      <w:pPr>
        <w:spacing w:after="0" w:line="240" w:lineRule="auto"/>
      </w:pPr>
      <w:r>
        <w:separator/>
      </w:r>
    </w:p>
  </w:footnote>
  <w:footnote w:type="continuationSeparator" w:id="0">
    <w:p w:rsidR="008E570D" w:rsidRDefault="008E570D" w:rsidP="00C66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45E1"/>
    <w:multiLevelType w:val="hybridMultilevel"/>
    <w:tmpl w:val="97CCE0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804582"/>
    <w:multiLevelType w:val="hybridMultilevel"/>
    <w:tmpl w:val="41C488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227E1E"/>
    <w:multiLevelType w:val="hybridMultilevel"/>
    <w:tmpl w:val="3A5A102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297071"/>
    <w:multiLevelType w:val="hybridMultilevel"/>
    <w:tmpl w:val="D4FEC3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EA7B82"/>
    <w:multiLevelType w:val="hybridMultilevel"/>
    <w:tmpl w:val="50AE8758"/>
    <w:lvl w:ilvl="0" w:tplc="7BC0EA5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C2256D4"/>
    <w:multiLevelType w:val="hybridMultilevel"/>
    <w:tmpl w:val="8278B3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581E42"/>
    <w:multiLevelType w:val="hybridMultilevel"/>
    <w:tmpl w:val="EAE4DA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2C374D"/>
    <w:multiLevelType w:val="hybridMultilevel"/>
    <w:tmpl w:val="6BD2F36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E64B7C"/>
    <w:multiLevelType w:val="hybridMultilevel"/>
    <w:tmpl w:val="F3AC9368"/>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563435D"/>
    <w:multiLevelType w:val="hybridMultilevel"/>
    <w:tmpl w:val="2E108BE4"/>
    <w:lvl w:ilvl="0" w:tplc="C7189F5C">
      <w:numFmt w:val="bullet"/>
      <w:lvlText w:val="-"/>
      <w:lvlJc w:val="left"/>
      <w:pPr>
        <w:ind w:left="360" w:hanging="360"/>
      </w:pPr>
      <w:rPr>
        <w:rFonts w:ascii="Bookman Old Style" w:eastAsiaTheme="minorHAnsi" w:hAnsi="Bookman Old Style"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F851C5B"/>
    <w:multiLevelType w:val="hybridMultilevel"/>
    <w:tmpl w:val="70EEF0FA"/>
    <w:lvl w:ilvl="0" w:tplc="3198F5EE">
      <w:start w:val="18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D72614"/>
    <w:multiLevelType w:val="hybridMultilevel"/>
    <w:tmpl w:val="54CA2954"/>
    <w:lvl w:ilvl="0" w:tplc="96BAF1E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0B5224"/>
    <w:multiLevelType w:val="hybridMultilevel"/>
    <w:tmpl w:val="ED6872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3"/>
  </w:num>
  <w:num w:numId="6">
    <w:abstractNumId w:val="0"/>
  </w:num>
  <w:num w:numId="7">
    <w:abstractNumId w:val="2"/>
  </w:num>
  <w:num w:numId="8">
    <w:abstractNumId w:val="7"/>
  </w:num>
  <w:num w:numId="9">
    <w:abstractNumId w:val="5"/>
  </w:num>
  <w:num w:numId="10">
    <w:abstractNumId w:val="1"/>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1BF"/>
    <w:rsid w:val="00033714"/>
    <w:rsid w:val="000E5787"/>
    <w:rsid w:val="0013013E"/>
    <w:rsid w:val="00193A63"/>
    <w:rsid w:val="002163EB"/>
    <w:rsid w:val="0023047B"/>
    <w:rsid w:val="00281252"/>
    <w:rsid w:val="00283B37"/>
    <w:rsid w:val="002E0B86"/>
    <w:rsid w:val="00332688"/>
    <w:rsid w:val="00382BDF"/>
    <w:rsid w:val="00385578"/>
    <w:rsid w:val="003C01D6"/>
    <w:rsid w:val="00475AC2"/>
    <w:rsid w:val="004818C6"/>
    <w:rsid w:val="004C4223"/>
    <w:rsid w:val="00524F9C"/>
    <w:rsid w:val="00530FF0"/>
    <w:rsid w:val="00541E5B"/>
    <w:rsid w:val="005500B3"/>
    <w:rsid w:val="00562CBC"/>
    <w:rsid w:val="005E0DDF"/>
    <w:rsid w:val="005E6EA1"/>
    <w:rsid w:val="0061446D"/>
    <w:rsid w:val="00634D88"/>
    <w:rsid w:val="00664ADB"/>
    <w:rsid w:val="00681242"/>
    <w:rsid w:val="00720A60"/>
    <w:rsid w:val="00732F3A"/>
    <w:rsid w:val="007A3953"/>
    <w:rsid w:val="008171D1"/>
    <w:rsid w:val="00827373"/>
    <w:rsid w:val="00847E4A"/>
    <w:rsid w:val="008D1973"/>
    <w:rsid w:val="008E570D"/>
    <w:rsid w:val="00900820"/>
    <w:rsid w:val="009E6EEB"/>
    <w:rsid w:val="009F12DD"/>
    <w:rsid w:val="00A544BD"/>
    <w:rsid w:val="00A70FCF"/>
    <w:rsid w:val="00A9077F"/>
    <w:rsid w:val="00AC2522"/>
    <w:rsid w:val="00AC309F"/>
    <w:rsid w:val="00AE1BF4"/>
    <w:rsid w:val="00B751BF"/>
    <w:rsid w:val="00BD2E9A"/>
    <w:rsid w:val="00C56A9B"/>
    <w:rsid w:val="00C66EA9"/>
    <w:rsid w:val="00C7617F"/>
    <w:rsid w:val="00CE6C6C"/>
    <w:rsid w:val="00D600B7"/>
    <w:rsid w:val="00EA3261"/>
    <w:rsid w:val="00EE6DFD"/>
    <w:rsid w:val="00F43DE9"/>
    <w:rsid w:val="00F65FEA"/>
    <w:rsid w:val="00F93576"/>
    <w:rsid w:val="00FC5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F1E02-BC3C-4847-B3CC-7032A87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E5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0E57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4A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ADB"/>
    <w:rPr>
      <w:rFonts w:ascii="Tahoma" w:hAnsi="Tahoma" w:cs="Tahoma"/>
      <w:sz w:val="16"/>
      <w:szCs w:val="16"/>
    </w:rPr>
  </w:style>
  <w:style w:type="character" w:customStyle="1" w:styleId="mark1ym9x7nfr">
    <w:name w:val="mark1ym9x7nfr"/>
    <w:basedOn w:val="Carpredefinitoparagrafo"/>
    <w:rsid w:val="00664ADB"/>
  </w:style>
  <w:style w:type="paragraph" w:customStyle="1" w:styleId="Default">
    <w:name w:val="Default"/>
    <w:rsid w:val="00382BDF"/>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F65F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5FEA"/>
    <w:rPr>
      <w:b/>
      <w:bCs/>
    </w:rPr>
  </w:style>
  <w:style w:type="paragraph" w:styleId="Paragrafoelenco">
    <w:name w:val="List Paragraph"/>
    <w:basedOn w:val="Normale"/>
    <w:uiPriority w:val="34"/>
    <w:qFormat/>
    <w:rsid w:val="005500B3"/>
    <w:pPr>
      <w:spacing w:after="160" w:line="259" w:lineRule="auto"/>
      <w:ind w:left="720"/>
      <w:contextualSpacing/>
    </w:pPr>
  </w:style>
  <w:style w:type="character" w:customStyle="1" w:styleId="fontstyle01">
    <w:name w:val="fontstyle01"/>
    <w:basedOn w:val="Carpredefinitoparagrafo"/>
    <w:rsid w:val="00033714"/>
    <w:rPr>
      <w:rFonts w:ascii="BookmanOldStyle" w:hAnsi="BookmanOldStyle" w:hint="default"/>
      <w:b w:val="0"/>
      <w:bCs w:val="0"/>
      <w:i w:val="0"/>
      <w:iCs w:val="0"/>
      <w:color w:val="000000"/>
      <w:sz w:val="22"/>
      <w:szCs w:val="22"/>
    </w:rPr>
  </w:style>
  <w:style w:type="character" w:customStyle="1" w:styleId="fontstyle11">
    <w:name w:val="fontstyle11"/>
    <w:basedOn w:val="Carpredefinitoparagrafo"/>
    <w:rsid w:val="00033714"/>
    <w:rPr>
      <w:rFonts w:ascii="BookmanOldStyle-Italic" w:hAnsi="BookmanOldStyle-Italic" w:hint="default"/>
      <w:b w:val="0"/>
      <w:bCs w:val="0"/>
      <w:i/>
      <w:iCs/>
      <w:color w:val="000000"/>
      <w:sz w:val="22"/>
      <w:szCs w:val="22"/>
    </w:rPr>
  </w:style>
  <w:style w:type="character" w:customStyle="1" w:styleId="fontstyle31">
    <w:name w:val="fontstyle31"/>
    <w:basedOn w:val="Carpredefinitoparagrafo"/>
    <w:rsid w:val="00033714"/>
    <w:rPr>
      <w:rFonts w:ascii="Calibri" w:hAnsi="Calibri" w:hint="default"/>
      <w:b w:val="0"/>
      <w:bCs w:val="0"/>
      <w:i w:val="0"/>
      <w:iCs w:val="0"/>
      <w:color w:val="000000"/>
      <w:sz w:val="16"/>
      <w:szCs w:val="16"/>
    </w:rPr>
  </w:style>
  <w:style w:type="character" w:customStyle="1" w:styleId="fontstyle21">
    <w:name w:val="fontstyle21"/>
    <w:basedOn w:val="Carpredefinitoparagrafo"/>
    <w:rsid w:val="00332688"/>
    <w:rPr>
      <w:rFonts w:ascii="Calibri" w:hAnsi="Calibri" w:hint="default"/>
      <w:b/>
      <w:bCs/>
      <w:i w:val="0"/>
      <w:iCs w:val="0"/>
      <w:color w:val="000000"/>
      <w:sz w:val="24"/>
      <w:szCs w:val="24"/>
    </w:rPr>
  </w:style>
  <w:style w:type="character" w:customStyle="1" w:styleId="provvnumart">
    <w:name w:val="provv_numart"/>
    <w:basedOn w:val="Carpredefinitoparagrafo"/>
    <w:rsid w:val="00A9077F"/>
  </w:style>
  <w:style w:type="character" w:customStyle="1" w:styleId="linkneltesto">
    <w:name w:val="link_nel_testo"/>
    <w:basedOn w:val="Carpredefinitoparagrafo"/>
    <w:rsid w:val="00A9077F"/>
  </w:style>
  <w:style w:type="character" w:customStyle="1" w:styleId="Titolo1Carattere">
    <w:name w:val="Titolo 1 Carattere"/>
    <w:basedOn w:val="Carpredefinitoparagrafo"/>
    <w:link w:val="Titolo1"/>
    <w:uiPriority w:val="9"/>
    <w:rsid w:val="000E5787"/>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0E5787"/>
    <w:rPr>
      <w:rFonts w:asciiTheme="majorHAnsi" w:eastAsiaTheme="majorEastAsia" w:hAnsiTheme="majorHAnsi" w:cstheme="majorBidi"/>
      <w:color w:val="365F91" w:themeColor="accent1" w:themeShade="BF"/>
      <w:sz w:val="26"/>
      <w:szCs w:val="26"/>
    </w:rPr>
  </w:style>
  <w:style w:type="paragraph" w:styleId="Titolosommario">
    <w:name w:val="TOC Heading"/>
    <w:basedOn w:val="Titolo1"/>
    <w:next w:val="Normale"/>
    <w:uiPriority w:val="39"/>
    <w:unhideWhenUsed/>
    <w:qFormat/>
    <w:rsid w:val="000E5787"/>
    <w:pPr>
      <w:spacing w:line="259" w:lineRule="auto"/>
      <w:outlineLvl w:val="9"/>
    </w:pPr>
    <w:rPr>
      <w:lang w:eastAsia="it-IT"/>
    </w:rPr>
  </w:style>
  <w:style w:type="paragraph" w:styleId="Sommario1">
    <w:name w:val="toc 1"/>
    <w:basedOn w:val="Normale"/>
    <w:next w:val="Normale"/>
    <w:autoRedefine/>
    <w:uiPriority w:val="39"/>
    <w:unhideWhenUsed/>
    <w:rsid w:val="000E5787"/>
    <w:pPr>
      <w:tabs>
        <w:tab w:val="right" w:leader="dot" w:pos="9628"/>
      </w:tabs>
      <w:spacing w:after="100"/>
    </w:pPr>
    <w:rPr>
      <w:rFonts w:eastAsia="Bookman Old Style"/>
      <w:b/>
      <w:bCs/>
      <w:noProof/>
    </w:rPr>
  </w:style>
  <w:style w:type="paragraph" w:styleId="Sommario2">
    <w:name w:val="toc 2"/>
    <w:basedOn w:val="Normale"/>
    <w:next w:val="Normale"/>
    <w:autoRedefine/>
    <w:uiPriority w:val="39"/>
    <w:unhideWhenUsed/>
    <w:rsid w:val="000E5787"/>
    <w:pPr>
      <w:spacing w:after="100"/>
      <w:ind w:left="220"/>
    </w:pPr>
  </w:style>
  <w:style w:type="character" w:styleId="Collegamentoipertestuale">
    <w:name w:val="Hyperlink"/>
    <w:basedOn w:val="Carpredefinitoparagrafo"/>
    <w:uiPriority w:val="99"/>
    <w:unhideWhenUsed/>
    <w:rsid w:val="000E5787"/>
    <w:rPr>
      <w:color w:val="0000FF" w:themeColor="hyperlink"/>
      <w:u w:val="single"/>
    </w:rPr>
  </w:style>
  <w:style w:type="paragraph" w:styleId="Intestazione">
    <w:name w:val="header"/>
    <w:basedOn w:val="Normale"/>
    <w:link w:val="IntestazioneCarattere"/>
    <w:uiPriority w:val="99"/>
    <w:unhideWhenUsed/>
    <w:rsid w:val="00C66E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EA9"/>
  </w:style>
  <w:style w:type="paragraph" w:styleId="Pidipagina">
    <w:name w:val="footer"/>
    <w:basedOn w:val="Normale"/>
    <w:link w:val="PidipaginaCarattere"/>
    <w:uiPriority w:val="99"/>
    <w:unhideWhenUsed/>
    <w:rsid w:val="00C66E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jp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371F-22EB-4EFC-89DC-C09BCA84BB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5727</Words>
  <Characters>32649</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Antonella Galdi</cp:lastModifiedBy>
  <cp:revision>2</cp:revision>
  <cp:lastPrinted>2020-06-09T09:09:00Z</cp:lastPrinted>
  <dcterms:created xsi:type="dcterms:W3CDTF">2020-06-10T07:46:00Z</dcterms:created>
  <dcterms:modified xsi:type="dcterms:W3CDTF">2020-06-10T07:46:00Z</dcterms:modified>
</cp:coreProperties>
</file>