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C07117B" w14:textId="77777777" w:rsidR="003D7BA3" w:rsidRDefault="003D7BA3"/>
    <w:p w14:paraId="10841BA9" w14:textId="3C7221C0" w:rsidR="003D7BA3" w:rsidRDefault="003D7BA3" w:rsidP="003D7BA3">
      <w:pPr>
        <w:jc w:val="center"/>
      </w:pPr>
      <w:r>
        <w:rPr>
          <w:noProof/>
        </w:rPr>
        <w:drawing>
          <wp:inline distT="0" distB="0" distL="0" distR="0" wp14:anchorId="01858A16" wp14:editId="5E6B4AEE">
            <wp:extent cx="1044000" cy="1543308"/>
            <wp:effectExtent l="0" t="0" r="3810"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pic:cNvPicPr/>
                  </pic:nvPicPr>
                  <pic:blipFill>
                    <a:blip r:embed="rId8" cstate="print">
                      <a:extLst>
                        <a:ext uri="{28A0092B-C50C-407E-A947-70E740481C1C}">
                          <a14:useLocalDpi xmlns:a14="http://schemas.microsoft.com/office/drawing/2010/main" val="0"/>
                        </a:ext>
                      </a:extLst>
                    </a:blip>
                    <a:stretch>
                      <a:fillRect/>
                    </a:stretch>
                  </pic:blipFill>
                  <pic:spPr>
                    <a:xfrm>
                      <a:off x="0" y="0"/>
                      <a:ext cx="1044000" cy="1543308"/>
                    </a:xfrm>
                    <a:prstGeom prst="rect">
                      <a:avLst/>
                    </a:prstGeom>
                  </pic:spPr>
                </pic:pic>
              </a:graphicData>
            </a:graphic>
          </wp:inline>
        </w:drawing>
      </w:r>
    </w:p>
    <w:p w14:paraId="40B30762" w14:textId="77777777" w:rsidR="003D7BA3" w:rsidRDefault="003D7BA3"/>
    <w:p w14:paraId="4085233C" w14:textId="57D63B1C" w:rsidR="003D7BA3" w:rsidRPr="003D7BA3" w:rsidRDefault="003D7BA3">
      <w:pPr>
        <w:rPr>
          <w:rFonts w:ascii="Bookman Old Style" w:hAnsi="Bookman Old Style"/>
          <w:i/>
          <w:iCs/>
          <w:sz w:val="28"/>
          <w:szCs w:val="28"/>
        </w:rPr>
      </w:pPr>
      <w:r w:rsidRPr="003D7BA3">
        <w:rPr>
          <w:rFonts w:ascii="Bookman Old Style" w:hAnsi="Bookman Old Style"/>
          <w:i/>
          <w:iCs/>
          <w:sz w:val="28"/>
          <w:szCs w:val="28"/>
        </w:rPr>
        <w:t>Roma, 9 novembre 2020</w:t>
      </w:r>
    </w:p>
    <w:p w14:paraId="40D96F53" w14:textId="44B39D72" w:rsidR="003D7BA3" w:rsidRDefault="003D7BA3">
      <w:pPr>
        <w:rPr>
          <w:rFonts w:ascii="Bookman Old Style" w:hAnsi="Bookman Old Style"/>
          <w:sz w:val="28"/>
          <w:szCs w:val="28"/>
        </w:rPr>
      </w:pPr>
    </w:p>
    <w:p w14:paraId="39ABF050" w14:textId="77777777" w:rsidR="0096102D" w:rsidRPr="003D7BA3" w:rsidRDefault="0096102D">
      <w:pPr>
        <w:rPr>
          <w:rFonts w:ascii="Bookman Old Style" w:hAnsi="Bookman Old Style"/>
          <w:sz w:val="28"/>
          <w:szCs w:val="28"/>
        </w:rPr>
      </w:pPr>
    </w:p>
    <w:p w14:paraId="382AF7D8" w14:textId="7CC583B6" w:rsidR="00231A02" w:rsidRPr="003D7BA3" w:rsidRDefault="003D7BA3" w:rsidP="003D7BA3">
      <w:pPr>
        <w:jc w:val="center"/>
        <w:rPr>
          <w:rFonts w:ascii="Bookman Old Style" w:hAnsi="Bookman Old Style"/>
          <w:b/>
          <w:bCs/>
          <w:sz w:val="28"/>
          <w:szCs w:val="28"/>
        </w:rPr>
      </w:pPr>
      <w:r w:rsidRPr="003D7BA3">
        <w:rPr>
          <w:rFonts w:ascii="Bookman Old Style" w:hAnsi="Bookman Old Style"/>
          <w:b/>
          <w:bCs/>
          <w:sz w:val="28"/>
          <w:szCs w:val="28"/>
        </w:rPr>
        <w:t>A</w:t>
      </w:r>
      <w:r w:rsidR="00F6104F" w:rsidRPr="003D7BA3">
        <w:rPr>
          <w:rFonts w:ascii="Bookman Old Style" w:hAnsi="Bookman Old Style"/>
          <w:b/>
          <w:bCs/>
          <w:sz w:val="28"/>
          <w:szCs w:val="28"/>
        </w:rPr>
        <w:t xml:space="preserve">udizione informale presso la </w:t>
      </w:r>
      <w:r w:rsidRPr="003D7BA3">
        <w:rPr>
          <w:rFonts w:ascii="Bookman Old Style" w:hAnsi="Bookman Old Style"/>
          <w:b/>
          <w:bCs/>
          <w:sz w:val="28"/>
          <w:szCs w:val="28"/>
        </w:rPr>
        <w:t>V Commissione ****</w:t>
      </w:r>
    </w:p>
    <w:p w14:paraId="117B019E" w14:textId="692ED523" w:rsidR="0096102D" w:rsidRDefault="0085015B" w:rsidP="003D7BA3">
      <w:pPr>
        <w:jc w:val="center"/>
        <w:rPr>
          <w:rFonts w:ascii="Bookman Old Style" w:hAnsi="Bookman Old Style"/>
          <w:b/>
          <w:bCs/>
          <w:sz w:val="28"/>
          <w:szCs w:val="28"/>
        </w:rPr>
      </w:pPr>
      <w:r>
        <w:rPr>
          <w:rFonts w:ascii="Bookman Old Style" w:hAnsi="Bookman Old Style"/>
          <w:b/>
          <w:bCs/>
          <w:sz w:val="28"/>
          <w:szCs w:val="28"/>
        </w:rPr>
        <w:t>Atto Senato</w:t>
      </w:r>
      <w:r w:rsidR="0096102D">
        <w:rPr>
          <w:rFonts w:ascii="Bookman Old Style" w:hAnsi="Bookman Old Style"/>
          <w:b/>
          <w:bCs/>
          <w:sz w:val="28"/>
          <w:szCs w:val="28"/>
        </w:rPr>
        <w:t xml:space="preserve"> S1994</w:t>
      </w:r>
    </w:p>
    <w:p w14:paraId="1E0ADB2F" w14:textId="450D8496" w:rsidR="003D7BA3" w:rsidRPr="0096102D" w:rsidRDefault="0096102D" w:rsidP="003D7BA3">
      <w:pPr>
        <w:jc w:val="center"/>
        <w:rPr>
          <w:rFonts w:ascii="Bookman Old Style" w:hAnsi="Bookman Old Style"/>
          <w:b/>
          <w:bCs/>
          <w:sz w:val="24"/>
          <w:szCs w:val="24"/>
        </w:rPr>
      </w:pPr>
      <w:r w:rsidRPr="0096102D">
        <w:rPr>
          <w:rFonts w:ascii="Bookman Old Style" w:hAnsi="Bookman Old Style"/>
          <w:b/>
          <w:bCs/>
          <w:sz w:val="24"/>
          <w:szCs w:val="24"/>
        </w:rPr>
        <w:t>Disegno di legge di conversione del</w:t>
      </w:r>
      <w:r w:rsidR="003D7BA3" w:rsidRPr="0096102D">
        <w:rPr>
          <w:rFonts w:ascii="Bookman Old Style" w:hAnsi="Bookman Old Style"/>
          <w:b/>
          <w:bCs/>
          <w:sz w:val="24"/>
          <w:szCs w:val="24"/>
        </w:rPr>
        <w:t xml:space="preserve"> decreto-legge 28 ottobre 2020, n. 137</w:t>
      </w:r>
    </w:p>
    <w:p w14:paraId="61205AB9" w14:textId="61C1EE46" w:rsidR="003D7BA3" w:rsidRDefault="003D7BA3" w:rsidP="003D7BA3">
      <w:pPr>
        <w:jc w:val="center"/>
        <w:rPr>
          <w:rFonts w:ascii="Bookman Old Style" w:hAnsi="Bookman Old Style"/>
          <w:b/>
          <w:bCs/>
          <w:sz w:val="32"/>
          <w:szCs w:val="32"/>
        </w:rPr>
      </w:pPr>
      <w:r w:rsidRPr="003D7BA3">
        <w:rPr>
          <w:rFonts w:ascii="Bookman Old Style" w:hAnsi="Bookman Old Style"/>
          <w:b/>
          <w:bCs/>
          <w:sz w:val="32"/>
          <w:szCs w:val="32"/>
        </w:rPr>
        <w:t>“Decreto Ristori”</w:t>
      </w:r>
    </w:p>
    <w:p w14:paraId="67DED3C9" w14:textId="78B36796" w:rsidR="007B1258" w:rsidRDefault="007B1258" w:rsidP="003D7BA3">
      <w:pPr>
        <w:jc w:val="center"/>
        <w:rPr>
          <w:rFonts w:ascii="Bookman Old Style" w:hAnsi="Bookman Old Style"/>
          <w:b/>
          <w:bCs/>
          <w:sz w:val="32"/>
          <w:szCs w:val="32"/>
        </w:rPr>
      </w:pPr>
    </w:p>
    <w:p w14:paraId="1599D823" w14:textId="77777777" w:rsidR="007B1258" w:rsidRPr="003D7BA3" w:rsidRDefault="007B1258" w:rsidP="003D7BA3">
      <w:pPr>
        <w:jc w:val="center"/>
        <w:rPr>
          <w:rFonts w:ascii="Bookman Old Style" w:hAnsi="Bookman Old Style"/>
          <w:b/>
          <w:bCs/>
          <w:sz w:val="32"/>
          <w:szCs w:val="32"/>
        </w:rPr>
      </w:pPr>
    </w:p>
    <w:p w14:paraId="3239B556" w14:textId="56D46EA5" w:rsidR="003D7BA3" w:rsidRDefault="003D7BA3">
      <w:pPr>
        <w:rPr>
          <w:rFonts w:ascii="Bookman Old Style" w:hAnsi="Bookman Old Style"/>
          <w:sz w:val="28"/>
          <w:szCs w:val="28"/>
        </w:rPr>
      </w:pPr>
    </w:p>
    <w:sdt>
      <w:sdtPr>
        <w:rPr>
          <w:rFonts w:asciiTheme="minorHAnsi" w:eastAsiaTheme="minorHAnsi" w:hAnsiTheme="minorHAnsi" w:cstheme="minorBidi"/>
          <w:b/>
          <w:bCs/>
          <w:color w:val="auto"/>
          <w:sz w:val="28"/>
          <w:szCs w:val="28"/>
          <w:lang w:eastAsia="en-US"/>
        </w:rPr>
        <w:id w:val="-827986846"/>
        <w:docPartObj>
          <w:docPartGallery w:val="Table of Contents"/>
          <w:docPartUnique/>
        </w:docPartObj>
      </w:sdtPr>
      <w:sdtEndPr>
        <w:rPr>
          <w:b w:val="0"/>
          <w:bCs w:val="0"/>
        </w:rPr>
      </w:sdtEndPr>
      <w:sdtContent>
        <w:p w14:paraId="67F12E5E" w14:textId="13D1811D" w:rsidR="00B20EDA" w:rsidRPr="007B1258" w:rsidRDefault="00B20EDA">
          <w:pPr>
            <w:pStyle w:val="Titolosommario"/>
            <w:rPr>
              <w:b/>
              <w:bCs/>
              <w:sz w:val="28"/>
              <w:szCs w:val="28"/>
            </w:rPr>
          </w:pPr>
          <w:r w:rsidRPr="007B1258">
            <w:rPr>
              <w:b/>
              <w:bCs/>
              <w:sz w:val="28"/>
              <w:szCs w:val="28"/>
            </w:rPr>
            <w:t>Sommario</w:t>
          </w:r>
        </w:p>
        <w:p w14:paraId="212FDC71" w14:textId="32AF92D2" w:rsidR="00B20EDA" w:rsidRPr="00B20EDA" w:rsidRDefault="00B20EDA">
          <w:pPr>
            <w:pStyle w:val="Sommario2"/>
            <w:tabs>
              <w:tab w:val="right" w:leader="dot" w:pos="9628"/>
            </w:tabs>
            <w:rPr>
              <w:noProof/>
              <w:sz w:val="28"/>
              <w:szCs w:val="28"/>
            </w:rPr>
          </w:pPr>
          <w:r w:rsidRPr="00B20EDA">
            <w:rPr>
              <w:sz w:val="28"/>
              <w:szCs w:val="28"/>
            </w:rPr>
            <w:fldChar w:fldCharType="begin"/>
          </w:r>
          <w:r w:rsidRPr="00B20EDA">
            <w:rPr>
              <w:sz w:val="28"/>
              <w:szCs w:val="28"/>
            </w:rPr>
            <w:instrText xml:space="preserve"> TOC \o "1-3" \h \z \u </w:instrText>
          </w:r>
          <w:r w:rsidRPr="00B20EDA">
            <w:rPr>
              <w:sz w:val="28"/>
              <w:szCs w:val="28"/>
            </w:rPr>
            <w:fldChar w:fldCharType="separate"/>
          </w:r>
          <w:hyperlink w:anchor="_Toc55825889" w:history="1">
            <w:r w:rsidRPr="00B20EDA">
              <w:rPr>
                <w:rStyle w:val="Collegamentoipertestuale"/>
                <w:noProof/>
                <w:sz w:val="28"/>
                <w:szCs w:val="28"/>
              </w:rPr>
              <w:t>Premessa</w:t>
            </w:r>
            <w:r w:rsidRPr="00B20EDA">
              <w:rPr>
                <w:noProof/>
                <w:webHidden/>
                <w:sz w:val="28"/>
                <w:szCs w:val="28"/>
              </w:rPr>
              <w:tab/>
            </w:r>
            <w:r w:rsidRPr="00B20EDA">
              <w:rPr>
                <w:noProof/>
                <w:webHidden/>
                <w:sz w:val="28"/>
                <w:szCs w:val="28"/>
              </w:rPr>
              <w:fldChar w:fldCharType="begin"/>
            </w:r>
            <w:r w:rsidRPr="00B20EDA">
              <w:rPr>
                <w:noProof/>
                <w:webHidden/>
                <w:sz w:val="28"/>
                <w:szCs w:val="28"/>
              </w:rPr>
              <w:instrText xml:space="preserve"> PAGEREF _Toc55825889 \h </w:instrText>
            </w:r>
            <w:r w:rsidRPr="00B20EDA">
              <w:rPr>
                <w:noProof/>
                <w:webHidden/>
                <w:sz w:val="28"/>
                <w:szCs w:val="28"/>
              </w:rPr>
            </w:r>
            <w:r w:rsidRPr="00B20EDA">
              <w:rPr>
                <w:noProof/>
                <w:webHidden/>
                <w:sz w:val="28"/>
                <w:szCs w:val="28"/>
              </w:rPr>
              <w:fldChar w:fldCharType="separate"/>
            </w:r>
            <w:r w:rsidR="007B1258">
              <w:rPr>
                <w:noProof/>
                <w:webHidden/>
                <w:sz w:val="28"/>
                <w:szCs w:val="28"/>
              </w:rPr>
              <w:t>2</w:t>
            </w:r>
            <w:r w:rsidRPr="00B20EDA">
              <w:rPr>
                <w:noProof/>
                <w:webHidden/>
                <w:sz w:val="28"/>
                <w:szCs w:val="28"/>
              </w:rPr>
              <w:fldChar w:fldCharType="end"/>
            </w:r>
          </w:hyperlink>
        </w:p>
        <w:p w14:paraId="4428A48E" w14:textId="681AA2BA" w:rsidR="00B20EDA" w:rsidRPr="00B20EDA" w:rsidRDefault="0073096D">
          <w:pPr>
            <w:pStyle w:val="Sommario2"/>
            <w:tabs>
              <w:tab w:val="right" w:leader="dot" w:pos="9628"/>
            </w:tabs>
            <w:rPr>
              <w:noProof/>
              <w:sz w:val="28"/>
              <w:szCs w:val="28"/>
            </w:rPr>
          </w:pPr>
          <w:hyperlink w:anchor="_Toc55825890" w:history="1">
            <w:r w:rsidR="00B20EDA" w:rsidRPr="00B20EDA">
              <w:rPr>
                <w:rStyle w:val="Collegamentoipertestuale"/>
                <w:noProof/>
                <w:sz w:val="28"/>
                <w:szCs w:val="28"/>
              </w:rPr>
              <w:t>Le agevolazioni IMU e i relativi ristori</w:t>
            </w:r>
            <w:r w:rsidR="00B20EDA" w:rsidRPr="00B20EDA">
              <w:rPr>
                <w:noProof/>
                <w:webHidden/>
                <w:sz w:val="28"/>
                <w:szCs w:val="28"/>
              </w:rPr>
              <w:tab/>
            </w:r>
            <w:r w:rsidR="00B20EDA" w:rsidRPr="00B20EDA">
              <w:rPr>
                <w:noProof/>
                <w:webHidden/>
                <w:sz w:val="28"/>
                <w:szCs w:val="28"/>
              </w:rPr>
              <w:fldChar w:fldCharType="begin"/>
            </w:r>
            <w:r w:rsidR="00B20EDA" w:rsidRPr="00B20EDA">
              <w:rPr>
                <w:noProof/>
                <w:webHidden/>
                <w:sz w:val="28"/>
                <w:szCs w:val="28"/>
              </w:rPr>
              <w:instrText xml:space="preserve"> PAGEREF _Toc55825890 \h </w:instrText>
            </w:r>
            <w:r w:rsidR="00B20EDA" w:rsidRPr="00B20EDA">
              <w:rPr>
                <w:noProof/>
                <w:webHidden/>
                <w:sz w:val="28"/>
                <w:szCs w:val="28"/>
              </w:rPr>
            </w:r>
            <w:r w:rsidR="00B20EDA" w:rsidRPr="00B20EDA">
              <w:rPr>
                <w:noProof/>
                <w:webHidden/>
                <w:sz w:val="28"/>
                <w:szCs w:val="28"/>
              </w:rPr>
              <w:fldChar w:fldCharType="separate"/>
            </w:r>
            <w:r w:rsidR="007B1258">
              <w:rPr>
                <w:noProof/>
                <w:webHidden/>
                <w:sz w:val="28"/>
                <w:szCs w:val="28"/>
              </w:rPr>
              <w:t>2</w:t>
            </w:r>
            <w:r w:rsidR="00B20EDA" w:rsidRPr="00B20EDA">
              <w:rPr>
                <w:noProof/>
                <w:webHidden/>
                <w:sz w:val="28"/>
                <w:szCs w:val="28"/>
              </w:rPr>
              <w:fldChar w:fldCharType="end"/>
            </w:r>
          </w:hyperlink>
        </w:p>
        <w:p w14:paraId="663DBCB1" w14:textId="4A4B2485" w:rsidR="00B20EDA" w:rsidRPr="00B20EDA" w:rsidRDefault="0073096D">
          <w:pPr>
            <w:pStyle w:val="Sommario2"/>
            <w:tabs>
              <w:tab w:val="right" w:leader="dot" w:pos="9628"/>
            </w:tabs>
            <w:rPr>
              <w:noProof/>
              <w:sz w:val="28"/>
              <w:szCs w:val="28"/>
            </w:rPr>
          </w:pPr>
          <w:hyperlink w:anchor="_Toc55825891" w:history="1">
            <w:r w:rsidR="00B20EDA" w:rsidRPr="00B20EDA">
              <w:rPr>
                <w:rStyle w:val="Collegamentoipertestuale"/>
                <w:noProof/>
                <w:sz w:val="28"/>
                <w:szCs w:val="28"/>
              </w:rPr>
              <w:t>Regole finanziarie e ulteriori sostegni</w:t>
            </w:r>
            <w:r w:rsidR="00B20EDA" w:rsidRPr="007B1258">
              <w:rPr>
                <w:rStyle w:val="Collegamentoipertestuale"/>
                <w:noProof/>
                <w:sz w:val="27"/>
                <w:szCs w:val="27"/>
              </w:rPr>
              <w:t xml:space="preserve"> a fronte del prolungamento dell’emergenza</w:t>
            </w:r>
            <w:r w:rsidR="00B20EDA" w:rsidRPr="00B20EDA">
              <w:rPr>
                <w:noProof/>
                <w:webHidden/>
                <w:sz w:val="28"/>
                <w:szCs w:val="28"/>
              </w:rPr>
              <w:tab/>
            </w:r>
            <w:r w:rsidR="00B20EDA" w:rsidRPr="00B20EDA">
              <w:rPr>
                <w:noProof/>
                <w:webHidden/>
                <w:sz w:val="28"/>
                <w:szCs w:val="28"/>
              </w:rPr>
              <w:fldChar w:fldCharType="begin"/>
            </w:r>
            <w:r w:rsidR="00B20EDA" w:rsidRPr="00B20EDA">
              <w:rPr>
                <w:noProof/>
                <w:webHidden/>
                <w:sz w:val="28"/>
                <w:szCs w:val="28"/>
              </w:rPr>
              <w:instrText xml:space="preserve"> PAGEREF _Toc55825891 \h </w:instrText>
            </w:r>
            <w:r w:rsidR="00B20EDA" w:rsidRPr="00B20EDA">
              <w:rPr>
                <w:noProof/>
                <w:webHidden/>
                <w:sz w:val="28"/>
                <w:szCs w:val="28"/>
              </w:rPr>
            </w:r>
            <w:r w:rsidR="00B20EDA" w:rsidRPr="00B20EDA">
              <w:rPr>
                <w:noProof/>
                <w:webHidden/>
                <w:sz w:val="28"/>
                <w:szCs w:val="28"/>
              </w:rPr>
              <w:fldChar w:fldCharType="separate"/>
            </w:r>
            <w:r w:rsidR="007B1258">
              <w:rPr>
                <w:noProof/>
                <w:webHidden/>
                <w:sz w:val="28"/>
                <w:szCs w:val="28"/>
              </w:rPr>
              <w:t>3</w:t>
            </w:r>
            <w:r w:rsidR="00B20EDA" w:rsidRPr="00B20EDA">
              <w:rPr>
                <w:noProof/>
                <w:webHidden/>
                <w:sz w:val="28"/>
                <w:szCs w:val="28"/>
              </w:rPr>
              <w:fldChar w:fldCharType="end"/>
            </w:r>
          </w:hyperlink>
        </w:p>
        <w:p w14:paraId="697CBBB9" w14:textId="00D99E34" w:rsidR="00B20EDA" w:rsidRPr="00B20EDA" w:rsidRDefault="0073096D">
          <w:pPr>
            <w:pStyle w:val="Sommario2"/>
            <w:tabs>
              <w:tab w:val="right" w:leader="dot" w:pos="9628"/>
            </w:tabs>
            <w:rPr>
              <w:noProof/>
              <w:sz w:val="28"/>
              <w:szCs w:val="28"/>
            </w:rPr>
          </w:pPr>
          <w:hyperlink w:anchor="_Toc55825892" w:history="1">
            <w:r w:rsidR="00B20EDA" w:rsidRPr="00B20EDA">
              <w:rPr>
                <w:rStyle w:val="Collegamentoipertestuale"/>
                <w:noProof/>
                <w:sz w:val="28"/>
                <w:szCs w:val="28"/>
              </w:rPr>
              <w:t>Proposte urgenti di emendamento in corso di predisposizione</w:t>
            </w:r>
            <w:r w:rsidR="00B20EDA" w:rsidRPr="00B20EDA">
              <w:rPr>
                <w:noProof/>
                <w:webHidden/>
                <w:sz w:val="28"/>
                <w:szCs w:val="28"/>
              </w:rPr>
              <w:tab/>
            </w:r>
            <w:r w:rsidR="00B20EDA" w:rsidRPr="00B20EDA">
              <w:rPr>
                <w:noProof/>
                <w:webHidden/>
                <w:sz w:val="28"/>
                <w:szCs w:val="28"/>
              </w:rPr>
              <w:fldChar w:fldCharType="begin"/>
            </w:r>
            <w:r w:rsidR="00B20EDA" w:rsidRPr="00B20EDA">
              <w:rPr>
                <w:noProof/>
                <w:webHidden/>
                <w:sz w:val="28"/>
                <w:szCs w:val="28"/>
              </w:rPr>
              <w:instrText xml:space="preserve"> PAGEREF _Toc55825892 \h </w:instrText>
            </w:r>
            <w:r w:rsidR="00B20EDA" w:rsidRPr="00B20EDA">
              <w:rPr>
                <w:noProof/>
                <w:webHidden/>
                <w:sz w:val="28"/>
                <w:szCs w:val="28"/>
              </w:rPr>
            </w:r>
            <w:r w:rsidR="00B20EDA" w:rsidRPr="00B20EDA">
              <w:rPr>
                <w:noProof/>
                <w:webHidden/>
                <w:sz w:val="28"/>
                <w:szCs w:val="28"/>
              </w:rPr>
              <w:fldChar w:fldCharType="separate"/>
            </w:r>
            <w:r w:rsidR="007B1258">
              <w:rPr>
                <w:noProof/>
                <w:webHidden/>
                <w:sz w:val="28"/>
                <w:szCs w:val="28"/>
              </w:rPr>
              <w:t>8</w:t>
            </w:r>
            <w:r w:rsidR="00B20EDA" w:rsidRPr="00B20EDA">
              <w:rPr>
                <w:noProof/>
                <w:webHidden/>
                <w:sz w:val="28"/>
                <w:szCs w:val="28"/>
              </w:rPr>
              <w:fldChar w:fldCharType="end"/>
            </w:r>
          </w:hyperlink>
        </w:p>
        <w:p w14:paraId="2A8CAC82" w14:textId="6DC759EB" w:rsidR="00B20EDA" w:rsidRPr="00B20EDA" w:rsidRDefault="00B20EDA">
          <w:pPr>
            <w:rPr>
              <w:sz w:val="28"/>
              <w:szCs w:val="28"/>
            </w:rPr>
          </w:pPr>
          <w:r w:rsidRPr="00B20EDA">
            <w:rPr>
              <w:sz w:val="28"/>
              <w:szCs w:val="28"/>
            </w:rPr>
            <w:fldChar w:fldCharType="end"/>
          </w:r>
        </w:p>
      </w:sdtContent>
    </w:sdt>
    <w:p w14:paraId="2EA58A9B" w14:textId="77777777" w:rsidR="0085015B" w:rsidRDefault="0085015B">
      <w:pPr>
        <w:rPr>
          <w:rFonts w:ascii="Bookman Old Style" w:hAnsi="Bookman Old Style"/>
          <w:sz w:val="28"/>
          <w:szCs w:val="28"/>
        </w:rPr>
      </w:pPr>
    </w:p>
    <w:p w14:paraId="01A46044" w14:textId="77777777" w:rsidR="00B20EDA" w:rsidRDefault="00B20EDA">
      <w:pPr>
        <w:rPr>
          <w:rFonts w:asciiTheme="majorHAnsi" w:eastAsiaTheme="majorEastAsia" w:hAnsiTheme="majorHAnsi" w:cstheme="majorBidi"/>
          <w:b/>
          <w:bCs/>
          <w:color w:val="2F5496" w:themeColor="accent1" w:themeShade="BF"/>
          <w:sz w:val="28"/>
          <w:szCs w:val="28"/>
        </w:rPr>
      </w:pPr>
      <w:r>
        <w:rPr>
          <w:b/>
          <w:bCs/>
          <w:sz w:val="28"/>
          <w:szCs w:val="28"/>
        </w:rPr>
        <w:br w:type="page"/>
      </w:r>
    </w:p>
    <w:p w14:paraId="5AC978E7" w14:textId="5953DF24" w:rsidR="003D7BA3" w:rsidRPr="00B20EDA" w:rsidRDefault="003D7BA3" w:rsidP="00B20EDA">
      <w:pPr>
        <w:pStyle w:val="Titolo2"/>
        <w:spacing w:after="120"/>
        <w:rPr>
          <w:b/>
          <w:bCs/>
          <w:sz w:val="28"/>
          <w:szCs w:val="28"/>
        </w:rPr>
      </w:pPr>
      <w:bookmarkStart w:id="0" w:name="_Toc55825889"/>
      <w:r w:rsidRPr="00B20EDA">
        <w:rPr>
          <w:b/>
          <w:bCs/>
          <w:sz w:val="28"/>
          <w:szCs w:val="28"/>
        </w:rPr>
        <w:lastRenderedPageBreak/>
        <w:t>Premessa</w:t>
      </w:r>
      <w:bookmarkEnd w:id="0"/>
    </w:p>
    <w:p w14:paraId="5F360E87" w14:textId="6EEA3592" w:rsidR="003D7BA3" w:rsidRDefault="003D7BA3" w:rsidP="00136F76">
      <w:pPr>
        <w:spacing w:line="360" w:lineRule="auto"/>
        <w:jc w:val="both"/>
        <w:rPr>
          <w:rFonts w:ascii="Bookman Old Style" w:hAnsi="Bookman Old Style"/>
          <w:sz w:val="24"/>
          <w:szCs w:val="24"/>
        </w:rPr>
      </w:pPr>
      <w:r w:rsidRPr="00136F76">
        <w:rPr>
          <w:rFonts w:ascii="Bookman Old Style" w:hAnsi="Bookman Old Style"/>
          <w:sz w:val="24"/>
          <w:szCs w:val="24"/>
        </w:rPr>
        <w:t xml:space="preserve">La recrudescenza dei contagi da virus </w:t>
      </w:r>
      <w:r w:rsidR="00136F76">
        <w:rPr>
          <w:rFonts w:ascii="Bookman Old Style" w:hAnsi="Bookman Old Style"/>
          <w:sz w:val="24"/>
          <w:szCs w:val="24"/>
        </w:rPr>
        <w:t xml:space="preserve">Covid-19 ha determinato l’esigenza di nuove misure di contenimento che con i recenti DPCM hanno comportato la limitazione di attività economiche in tutto il territorio nazionale con condizioni di maggior rigore in talune aree del Paese. </w:t>
      </w:r>
    </w:p>
    <w:p w14:paraId="2A161581" w14:textId="383B570F" w:rsidR="00B66B1C" w:rsidRDefault="00B66B1C" w:rsidP="00136F76">
      <w:pPr>
        <w:spacing w:line="360" w:lineRule="auto"/>
        <w:jc w:val="both"/>
        <w:rPr>
          <w:rFonts w:ascii="Bookman Old Style" w:hAnsi="Bookman Old Style"/>
          <w:sz w:val="24"/>
          <w:szCs w:val="24"/>
        </w:rPr>
      </w:pPr>
      <w:r>
        <w:rPr>
          <w:rFonts w:ascii="Bookman Old Style" w:hAnsi="Bookman Old Style"/>
          <w:sz w:val="24"/>
          <w:szCs w:val="24"/>
        </w:rPr>
        <w:t>Le nuove limitazioni sono state accompagnate da un provvedimento di sostegno economico, il decreto legge 137, oggetto di questa audizione.</w:t>
      </w:r>
    </w:p>
    <w:p w14:paraId="0AF3BDD2" w14:textId="063F4427" w:rsidR="00136F76" w:rsidRPr="00715268" w:rsidRDefault="00B66B1C" w:rsidP="00136F76">
      <w:pPr>
        <w:spacing w:line="360" w:lineRule="auto"/>
        <w:jc w:val="both"/>
        <w:rPr>
          <w:rFonts w:ascii="Bookman Old Style" w:hAnsi="Bookman Old Style"/>
          <w:sz w:val="24"/>
          <w:szCs w:val="24"/>
        </w:rPr>
      </w:pPr>
      <w:r w:rsidRPr="00715268">
        <w:rPr>
          <w:rFonts w:ascii="Bookman Old Style" w:hAnsi="Bookman Old Style"/>
          <w:sz w:val="24"/>
          <w:szCs w:val="24"/>
        </w:rPr>
        <w:t xml:space="preserve">Le principali misure </w:t>
      </w:r>
      <w:r w:rsidR="00715268">
        <w:rPr>
          <w:rFonts w:ascii="Bookman Old Style" w:hAnsi="Bookman Old Style"/>
          <w:sz w:val="24"/>
          <w:szCs w:val="24"/>
        </w:rPr>
        <w:t xml:space="preserve">economiche </w:t>
      </w:r>
      <w:r w:rsidRPr="00715268">
        <w:rPr>
          <w:rFonts w:ascii="Bookman Old Style" w:hAnsi="Bookman Old Style"/>
          <w:sz w:val="24"/>
          <w:szCs w:val="24"/>
        </w:rPr>
        <w:t>previste dal decreto 137</w:t>
      </w:r>
      <w:r w:rsidR="00715268" w:rsidRPr="00715268">
        <w:rPr>
          <w:rFonts w:ascii="Bookman Old Style" w:hAnsi="Bookman Old Style"/>
          <w:sz w:val="24"/>
          <w:szCs w:val="24"/>
        </w:rPr>
        <w:t xml:space="preserve"> sono</w:t>
      </w:r>
      <w:r w:rsidR="00DB5819" w:rsidRPr="00715268">
        <w:rPr>
          <w:rFonts w:ascii="Bookman Old Style" w:hAnsi="Bookman Old Style"/>
          <w:sz w:val="24"/>
          <w:szCs w:val="24"/>
        </w:rPr>
        <w:t>:</w:t>
      </w:r>
    </w:p>
    <w:p w14:paraId="026F1A9E" w14:textId="061BC2E8" w:rsidR="00B66B1C" w:rsidRPr="00715268" w:rsidRDefault="00C248DF" w:rsidP="00715268">
      <w:pPr>
        <w:pStyle w:val="Paragrafoelenco"/>
        <w:numPr>
          <w:ilvl w:val="0"/>
          <w:numId w:val="1"/>
        </w:numPr>
        <w:spacing w:line="360" w:lineRule="auto"/>
        <w:ind w:left="426"/>
        <w:jc w:val="both"/>
        <w:rPr>
          <w:rFonts w:ascii="Bookman Old Style" w:hAnsi="Bookman Old Style"/>
          <w:sz w:val="24"/>
          <w:szCs w:val="24"/>
        </w:rPr>
      </w:pPr>
      <w:r>
        <w:rPr>
          <w:rFonts w:ascii="Bookman Old Style" w:hAnsi="Bookman Old Style"/>
          <w:sz w:val="24"/>
          <w:szCs w:val="24"/>
        </w:rPr>
        <w:t>c</w:t>
      </w:r>
      <w:r w:rsidR="00B66B1C" w:rsidRPr="00715268">
        <w:rPr>
          <w:rFonts w:ascii="Bookman Old Style" w:hAnsi="Bookman Old Style"/>
          <w:sz w:val="24"/>
          <w:szCs w:val="24"/>
        </w:rPr>
        <w:t xml:space="preserve">ontributi a fondo perduto riservati ad un ampio gruppo di aziende direttamente colpite dalle limitazioni di attività, ad attivazione automatica per </w:t>
      </w:r>
      <w:r w:rsidR="00715268">
        <w:rPr>
          <w:rFonts w:ascii="Bookman Old Style" w:hAnsi="Bookman Old Style"/>
          <w:sz w:val="24"/>
          <w:szCs w:val="24"/>
        </w:rPr>
        <w:t xml:space="preserve">quelle </w:t>
      </w:r>
      <w:r w:rsidR="00B66B1C" w:rsidRPr="00715268">
        <w:rPr>
          <w:rFonts w:ascii="Bookman Old Style" w:hAnsi="Bookman Old Style"/>
          <w:sz w:val="24"/>
          <w:szCs w:val="24"/>
        </w:rPr>
        <w:t>che già avevano ottenuto il contributo prev</w:t>
      </w:r>
      <w:r w:rsidR="00DB5819" w:rsidRPr="00715268">
        <w:rPr>
          <w:rFonts w:ascii="Bookman Old Style" w:hAnsi="Bookman Old Style"/>
          <w:sz w:val="24"/>
          <w:szCs w:val="24"/>
        </w:rPr>
        <w:t>i</w:t>
      </w:r>
      <w:r w:rsidR="00B66B1C" w:rsidRPr="00715268">
        <w:rPr>
          <w:rFonts w:ascii="Bookman Old Style" w:hAnsi="Bookman Old Style"/>
          <w:sz w:val="24"/>
          <w:szCs w:val="24"/>
        </w:rPr>
        <w:t>sto nella prima fase dell’emergenza</w:t>
      </w:r>
      <w:r w:rsidR="00715268">
        <w:rPr>
          <w:rFonts w:ascii="Bookman Old Style" w:hAnsi="Bookman Old Style"/>
          <w:sz w:val="24"/>
          <w:szCs w:val="24"/>
        </w:rPr>
        <w:t>;</w:t>
      </w:r>
    </w:p>
    <w:p w14:paraId="3A6807F8" w14:textId="117BB561" w:rsidR="00B66B1C" w:rsidRPr="00715268" w:rsidRDefault="00C248DF" w:rsidP="00715268">
      <w:pPr>
        <w:pStyle w:val="Paragrafoelenco"/>
        <w:numPr>
          <w:ilvl w:val="0"/>
          <w:numId w:val="1"/>
        </w:numPr>
        <w:spacing w:line="360" w:lineRule="auto"/>
        <w:ind w:left="426"/>
        <w:jc w:val="both"/>
        <w:rPr>
          <w:rFonts w:ascii="Bookman Old Style" w:hAnsi="Bookman Old Style"/>
          <w:sz w:val="24"/>
          <w:szCs w:val="24"/>
        </w:rPr>
      </w:pPr>
      <w:r>
        <w:rPr>
          <w:rFonts w:ascii="Bookman Old Style" w:hAnsi="Bookman Old Style"/>
          <w:sz w:val="24"/>
          <w:szCs w:val="24"/>
        </w:rPr>
        <w:t>u</w:t>
      </w:r>
      <w:r w:rsidR="00B66B1C" w:rsidRPr="00715268">
        <w:rPr>
          <w:rFonts w:ascii="Bookman Old Style" w:hAnsi="Bookman Old Style"/>
          <w:sz w:val="24"/>
          <w:szCs w:val="24"/>
        </w:rPr>
        <w:t>lteriori erogazioni a titolo di reddito di emergenza (due mensilità)</w:t>
      </w:r>
      <w:r w:rsidR="00715268">
        <w:rPr>
          <w:rFonts w:ascii="Bookman Old Style" w:hAnsi="Bookman Old Style"/>
          <w:sz w:val="24"/>
          <w:szCs w:val="24"/>
        </w:rPr>
        <w:t>,</w:t>
      </w:r>
      <w:r w:rsidR="00B66B1C" w:rsidRPr="00715268">
        <w:rPr>
          <w:rFonts w:ascii="Bookman Old Style" w:hAnsi="Bookman Old Style"/>
          <w:sz w:val="24"/>
          <w:szCs w:val="24"/>
        </w:rPr>
        <w:t xml:space="preserve"> anche a favore dei nuclei familiari con redditi minimi </w:t>
      </w:r>
      <w:r w:rsidR="00DB5819" w:rsidRPr="00715268">
        <w:rPr>
          <w:rFonts w:ascii="Bookman Old Style" w:hAnsi="Bookman Old Style"/>
          <w:sz w:val="24"/>
          <w:szCs w:val="24"/>
        </w:rPr>
        <w:t>nel mese di settembre 2020</w:t>
      </w:r>
      <w:r>
        <w:rPr>
          <w:rFonts w:ascii="Bookman Old Style" w:hAnsi="Bookman Old Style"/>
          <w:sz w:val="24"/>
          <w:szCs w:val="24"/>
        </w:rPr>
        <w:t>;</w:t>
      </w:r>
    </w:p>
    <w:p w14:paraId="7EA5C769" w14:textId="1A7752CE" w:rsidR="00DB5819" w:rsidRPr="00715268" w:rsidRDefault="00C248DF" w:rsidP="00715268">
      <w:pPr>
        <w:pStyle w:val="Paragrafoelenco"/>
        <w:numPr>
          <w:ilvl w:val="0"/>
          <w:numId w:val="1"/>
        </w:numPr>
        <w:spacing w:line="360" w:lineRule="auto"/>
        <w:ind w:left="426"/>
        <w:jc w:val="both"/>
        <w:rPr>
          <w:rFonts w:ascii="Bookman Old Style" w:hAnsi="Bookman Old Style"/>
          <w:sz w:val="24"/>
          <w:szCs w:val="24"/>
        </w:rPr>
      </w:pPr>
      <w:r>
        <w:rPr>
          <w:rFonts w:ascii="Bookman Old Style" w:hAnsi="Bookman Old Style"/>
          <w:sz w:val="24"/>
          <w:szCs w:val="24"/>
        </w:rPr>
        <w:t>p</w:t>
      </w:r>
      <w:r w:rsidR="00DB5819" w:rsidRPr="00715268">
        <w:rPr>
          <w:rFonts w:ascii="Bookman Old Style" w:hAnsi="Bookman Old Style"/>
          <w:sz w:val="24"/>
          <w:szCs w:val="24"/>
        </w:rPr>
        <w:t xml:space="preserve">roroga della cassa integrazione </w:t>
      </w:r>
      <w:r>
        <w:rPr>
          <w:rFonts w:ascii="Bookman Old Style" w:hAnsi="Bookman Old Style"/>
          <w:sz w:val="24"/>
          <w:szCs w:val="24"/>
        </w:rPr>
        <w:t xml:space="preserve">per un massimo di </w:t>
      </w:r>
      <w:r w:rsidR="00DB5819" w:rsidRPr="00715268">
        <w:rPr>
          <w:rFonts w:ascii="Bookman Old Style" w:hAnsi="Bookman Old Style"/>
          <w:sz w:val="24"/>
          <w:szCs w:val="24"/>
        </w:rPr>
        <w:t>6 settimane nel periodo novembre 2020-gennaio 2021</w:t>
      </w:r>
      <w:r>
        <w:rPr>
          <w:rFonts w:ascii="Bookman Old Style" w:hAnsi="Bookman Old Style"/>
          <w:sz w:val="24"/>
          <w:szCs w:val="24"/>
        </w:rPr>
        <w:t>;</w:t>
      </w:r>
    </w:p>
    <w:p w14:paraId="29CFDD1D" w14:textId="71F6C9CE" w:rsidR="00DB5819" w:rsidRPr="00715268" w:rsidRDefault="00C248DF" w:rsidP="00715268">
      <w:pPr>
        <w:pStyle w:val="Paragrafoelenco"/>
        <w:numPr>
          <w:ilvl w:val="0"/>
          <w:numId w:val="1"/>
        </w:numPr>
        <w:spacing w:line="360" w:lineRule="auto"/>
        <w:ind w:left="426"/>
        <w:jc w:val="both"/>
        <w:rPr>
          <w:rFonts w:ascii="Bookman Old Style" w:hAnsi="Bookman Old Style"/>
          <w:sz w:val="24"/>
          <w:szCs w:val="24"/>
        </w:rPr>
      </w:pPr>
      <w:r>
        <w:rPr>
          <w:rFonts w:ascii="Bookman Old Style" w:hAnsi="Bookman Old Style"/>
          <w:sz w:val="24"/>
          <w:szCs w:val="24"/>
        </w:rPr>
        <w:t>e</w:t>
      </w:r>
      <w:r w:rsidR="00DB5819" w:rsidRPr="00715268">
        <w:rPr>
          <w:rFonts w:ascii="Bookman Old Style" w:hAnsi="Bookman Old Style"/>
          <w:sz w:val="24"/>
          <w:szCs w:val="24"/>
        </w:rPr>
        <w:t xml:space="preserve">sonero parziale dai contributi </w:t>
      </w:r>
      <w:r w:rsidR="00715268" w:rsidRPr="00715268">
        <w:rPr>
          <w:rFonts w:ascii="Bookman Old Style" w:hAnsi="Bookman Old Style"/>
          <w:sz w:val="24"/>
          <w:szCs w:val="24"/>
        </w:rPr>
        <w:t>previdenziali</w:t>
      </w:r>
      <w:r w:rsidR="00DB5819" w:rsidRPr="00715268">
        <w:rPr>
          <w:rFonts w:ascii="Bookman Old Style" w:hAnsi="Bookman Old Style"/>
          <w:sz w:val="24"/>
          <w:szCs w:val="24"/>
        </w:rPr>
        <w:t xml:space="preserve"> in alternativa al ricorso alla cassa integrazione</w:t>
      </w:r>
      <w:r w:rsidR="00715268" w:rsidRPr="00715268">
        <w:rPr>
          <w:rFonts w:ascii="Bookman Old Style" w:hAnsi="Bookman Old Style"/>
          <w:sz w:val="24"/>
          <w:szCs w:val="24"/>
        </w:rPr>
        <w:t xml:space="preserve"> e sospensione dei pagamenti relativi al mese di novembre</w:t>
      </w:r>
      <w:r>
        <w:rPr>
          <w:rFonts w:ascii="Bookman Old Style" w:hAnsi="Bookman Old Style"/>
          <w:sz w:val="24"/>
          <w:szCs w:val="24"/>
        </w:rPr>
        <w:t>;</w:t>
      </w:r>
      <w:r w:rsidR="00715268" w:rsidRPr="00715268">
        <w:rPr>
          <w:rFonts w:ascii="Bookman Old Style" w:hAnsi="Bookman Old Style"/>
          <w:sz w:val="24"/>
          <w:szCs w:val="24"/>
        </w:rPr>
        <w:t xml:space="preserve"> </w:t>
      </w:r>
    </w:p>
    <w:p w14:paraId="151B74B2" w14:textId="639A197E" w:rsidR="00DB5819" w:rsidRPr="00715268" w:rsidRDefault="00C248DF" w:rsidP="00715268">
      <w:pPr>
        <w:pStyle w:val="Paragrafoelenco"/>
        <w:numPr>
          <w:ilvl w:val="0"/>
          <w:numId w:val="1"/>
        </w:numPr>
        <w:spacing w:line="360" w:lineRule="auto"/>
        <w:ind w:left="426"/>
        <w:jc w:val="both"/>
        <w:rPr>
          <w:rFonts w:ascii="Bookman Old Style" w:hAnsi="Bookman Old Style"/>
          <w:sz w:val="24"/>
          <w:szCs w:val="24"/>
        </w:rPr>
      </w:pPr>
      <w:r>
        <w:rPr>
          <w:rFonts w:ascii="Bookman Old Style" w:hAnsi="Bookman Old Style"/>
          <w:sz w:val="24"/>
          <w:szCs w:val="24"/>
        </w:rPr>
        <w:t>p</w:t>
      </w:r>
      <w:r w:rsidR="00DB5819" w:rsidRPr="00715268">
        <w:rPr>
          <w:rFonts w:ascii="Bookman Old Style" w:hAnsi="Bookman Old Style"/>
          <w:sz w:val="24"/>
          <w:szCs w:val="24"/>
        </w:rPr>
        <w:t>roroga al 31 gennaio 2021 del blocco dei licenziamenti</w:t>
      </w:r>
      <w:r>
        <w:rPr>
          <w:rFonts w:ascii="Bookman Old Style" w:hAnsi="Bookman Old Style"/>
          <w:sz w:val="24"/>
          <w:szCs w:val="24"/>
        </w:rPr>
        <w:t>;</w:t>
      </w:r>
      <w:r w:rsidR="00DB5819" w:rsidRPr="00715268">
        <w:rPr>
          <w:rFonts w:ascii="Bookman Old Style" w:hAnsi="Bookman Old Style"/>
          <w:sz w:val="24"/>
          <w:szCs w:val="24"/>
        </w:rPr>
        <w:t xml:space="preserve"> </w:t>
      </w:r>
    </w:p>
    <w:p w14:paraId="4729002B" w14:textId="6556F6A5" w:rsidR="00DB5819" w:rsidRPr="00715268" w:rsidRDefault="00C248DF" w:rsidP="00715268">
      <w:pPr>
        <w:pStyle w:val="Paragrafoelenco"/>
        <w:numPr>
          <w:ilvl w:val="0"/>
          <w:numId w:val="1"/>
        </w:numPr>
        <w:spacing w:line="360" w:lineRule="auto"/>
        <w:ind w:left="426"/>
        <w:jc w:val="both"/>
        <w:rPr>
          <w:rFonts w:ascii="Bookman Old Style" w:hAnsi="Bookman Old Style"/>
          <w:sz w:val="24"/>
          <w:szCs w:val="24"/>
        </w:rPr>
      </w:pPr>
      <w:r>
        <w:rPr>
          <w:rFonts w:ascii="Bookman Old Style" w:hAnsi="Bookman Old Style"/>
          <w:sz w:val="24"/>
          <w:szCs w:val="24"/>
        </w:rPr>
        <w:t>i</w:t>
      </w:r>
      <w:r w:rsidR="00DB5819" w:rsidRPr="00715268">
        <w:rPr>
          <w:rFonts w:ascii="Bookman Old Style" w:hAnsi="Bookman Old Style"/>
          <w:sz w:val="24"/>
          <w:szCs w:val="24"/>
        </w:rPr>
        <w:t>ndennità e contributi specifici per i settori dello spettacolo, del turismo e dello sport</w:t>
      </w:r>
      <w:r>
        <w:rPr>
          <w:rFonts w:ascii="Bookman Old Style" w:hAnsi="Bookman Old Style"/>
          <w:sz w:val="24"/>
          <w:szCs w:val="24"/>
        </w:rPr>
        <w:t>;</w:t>
      </w:r>
    </w:p>
    <w:p w14:paraId="4ADD091F" w14:textId="3AEF795F" w:rsidR="00DB5819" w:rsidRDefault="00C248DF" w:rsidP="00715268">
      <w:pPr>
        <w:pStyle w:val="Paragrafoelenco"/>
        <w:numPr>
          <w:ilvl w:val="0"/>
          <w:numId w:val="1"/>
        </w:numPr>
        <w:spacing w:line="360" w:lineRule="auto"/>
        <w:ind w:left="426"/>
        <w:jc w:val="both"/>
        <w:rPr>
          <w:rFonts w:ascii="Bookman Old Style" w:hAnsi="Bookman Old Style"/>
          <w:sz w:val="24"/>
          <w:szCs w:val="24"/>
        </w:rPr>
      </w:pPr>
      <w:r>
        <w:rPr>
          <w:rFonts w:ascii="Bookman Old Style" w:hAnsi="Bookman Old Style"/>
          <w:sz w:val="24"/>
          <w:szCs w:val="24"/>
        </w:rPr>
        <w:t>r</w:t>
      </w:r>
      <w:r w:rsidR="00715268">
        <w:rPr>
          <w:rFonts w:ascii="Bookman Old Style" w:hAnsi="Bookman Old Style"/>
          <w:sz w:val="24"/>
          <w:szCs w:val="24"/>
        </w:rPr>
        <w:t>ipresa del credito d’imposta sugli affitti commerciali, cedibile al proprietario dell’immobile, per ottobre-dicembre</w:t>
      </w:r>
      <w:r>
        <w:rPr>
          <w:rFonts w:ascii="Bookman Old Style" w:hAnsi="Bookman Old Style"/>
          <w:sz w:val="24"/>
          <w:szCs w:val="24"/>
        </w:rPr>
        <w:t>;</w:t>
      </w:r>
      <w:r w:rsidR="00715268">
        <w:rPr>
          <w:rFonts w:ascii="Bookman Old Style" w:hAnsi="Bookman Old Style"/>
          <w:sz w:val="24"/>
          <w:szCs w:val="24"/>
        </w:rPr>
        <w:t xml:space="preserve"> </w:t>
      </w:r>
    </w:p>
    <w:p w14:paraId="3172F514" w14:textId="51D295E7" w:rsidR="00715268" w:rsidRDefault="00C248DF" w:rsidP="00715268">
      <w:pPr>
        <w:pStyle w:val="Paragrafoelenco"/>
        <w:numPr>
          <w:ilvl w:val="0"/>
          <w:numId w:val="1"/>
        </w:numPr>
        <w:spacing w:line="360" w:lineRule="auto"/>
        <w:ind w:left="426"/>
        <w:jc w:val="both"/>
        <w:rPr>
          <w:rFonts w:ascii="Bookman Old Style" w:hAnsi="Bookman Old Style"/>
          <w:sz w:val="24"/>
          <w:szCs w:val="24"/>
        </w:rPr>
      </w:pPr>
      <w:r>
        <w:rPr>
          <w:rFonts w:ascii="Bookman Old Style" w:hAnsi="Bookman Old Style"/>
          <w:sz w:val="24"/>
          <w:szCs w:val="24"/>
        </w:rPr>
        <w:t>a</w:t>
      </w:r>
      <w:r w:rsidR="00715268">
        <w:rPr>
          <w:rFonts w:ascii="Bookman Old Style" w:hAnsi="Bookman Old Style"/>
          <w:sz w:val="24"/>
          <w:szCs w:val="24"/>
        </w:rPr>
        <w:t>bolizione della seconda rata dell’IMU 2020 per gli immobili posseduti e condotti dagli esercenti delle attività più colpite dalle restrizioni disposte con gli ultimi DPCM.</w:t>
      </w:r>
    </w:p>
    <w:p w14:paraId="53ED9D50" w14:textId="6E1ECFA4" w:rsidR="00E15408" w:rsidRPr="005E412C" w:rsidRDefault="005E412C" w:rsidP="005E412C">
      <w:pPr>
        <w:spacing w:line="360" w:lineRule="auto"/>
        <w:jc w:val="both"/>
        <w:rPr>
          <w:rFonts w:ascii="Bookman Old Style" w:hAnsi="Bookman Old Style"/>
          <w:sz w:val="24"/>
          <w:szCs w:val="24"/>
        </w:rPr>
      </w:pPr>
      <w:r>
        <w:rPr>
          <w:rFonts w:ascii="Bookman Old Style" w:hAnsi="Bookman Old Style"/>
          <w:sz w:val="24"/>
          <w:szCs w:val="24"/>
        </w:rPr>
        <w:t>Ulteriori misure dovrebbero poi essere adottate con un successivo decreto legge.</w:t>
      </w:r>
    </w:p>
    <w:p w14:paraId="226D6F11" w14:textId="77777777" w:rsidR="007B1258" w:rsidRDefault="007B1258" w:rsidP="00B20EDA">
      <w:pPr>
        <w:pStyle w:val="Titolo2"/>
        <w:spacing w:after="120"/>
        <w:rPr>
          <w:b/>
          <w:bCs/>
          <w:sz w:val="28"/>
          <w:szCs w:val="28"/>
        </w:rPr>
      </w:pPr>
      <w:bookmarkStart w:id="1" w:name="_Toc55825890"/>
      <w:r>
        <w:rPr>
          <w:b/>
          <w:bCs/>
          <w:sz w:val="28"/>
          <w:szCs w:val="28"/>
        </w:rPr>
        <w:br/>
      </w:r>
    </w:p>
    <w:p w14:paraId="59BD41C0" w14:textId="77777777" w:rsidR="007B1258" w:rsidRDefault="007B1258">
      <w:pPr>
        <w:rPr>
          <w:rFonts w:asciiTheme="majorHAnsi" w:eastAsiaTheme="majorEastAsia" w:hAnsiTheme="majorHAnsi" w:cstheme="majorBidi"/>
          <w:b/>
          <w:bCs/>
          <w:color w:val="2F5496" w:themeColor="accent1" w:themeShade="BF"/>
          <w:sz w:val="28"/>
          <w:szCs w:val="28"/>
        </w:rPr>
      </w:pPr>
      <w:r>
        <w:rPr>
          <w:b/>
          <w:bCs/>
          <w:sz w:val="28"/>
          <w:szCs w:val="28"/>
        </w:rPr>
        <w:br w:type="page"/>
      </w:r>
    </w:p>
    <w:p w14:paraId="15031C34" w14:textId="5B4AA588" w:rsidR="00715268" w:rsidRPr="00B20EDA" w:rsidRDefault="00B20EDA" w:rsidP="00B20EDA">
      <w:pPr>
        <w:pStyle w:val="Titolo2"/>
        <w:spacing w:after="120"/>
        <w:rPr>
          <w:b/>
          <w:bCs/>
          <w:sz w:val="28"/>
          <w:szCs w:val="28"/>
        </w:rPr>
      </w:pPr>
      <w:r w:rsidRPr="00B20EDA">
        <w:rPr>
          <w:b/>
          <w:bCs/>
          <w:sz w:val="28"/>
          <w:szCs w:val="28"/>
        </w:rPr>
        <w:lastRenderedPageBreak/>
        <w:t>Le agevolazioni IMU e i relativi ristori</w:t>
      </w:r>
      <w:bookmarkEnd w:id="1"/>
    </w:p>
    <w:p w14:paraId="79FCCE24" w14:textId="54D5BB6D" w:rsidR="00E15408" w:rsidRDefault="00E15408" w:rsidP="00715268">
      <w:pPr>
        <w:spacing w:line="360" w:lineRule="auto"/>
        <w:jc w:val="both"/>
        <w:rPr>
          <w:rFonts w:ascii="Bookman Old Style" w:hAnsi="Bookman Old Style"/>
          <w:sz w:val="24"/>
          <w:szCs w:val="24"/>
        </w:rPr>
      </w:pPr>
      <w:r>
        <w:rPr>
          <w:rFonts w:ascii="Bookman Old Style" w:hAnsi="Bookman Old Style"/>
          <w:sz w:val="24"/>
          <w:szCs w:val="24"/>
        </w:rPr>
        <w:t>L’ulteriore estensione delle agevolazioni IMU, rispetto a quanto già disposto con i decreti 34 e 104 (immobili ad uso turistico, fiere, discoteche</w:t>
      </w:r>
      <w:r w:rsidR="007432FD">
        <w:rPr>
          <w:rFonts w:ascii="Bookman Old Style" w:hAnsi="Bookman Old Style"/>
          <w:sz w:val="24"/>
          <w:szCs w:val="24"/>
        </w:rPr>
        <w:t>, cinema e teatri</w:t>
      </w:r>
      <w:r>
        <w:rPr>
          <w:rFonts w:ascii="Bookman Old Style" w:hAnsi="Bookman Old Style"/>
          <w:sz w:val="24"/>
          <w:szCs w:val="24"/>
        </w:rPr>
        <w:t>), comporta la concessione dell</w:t>
      </w:r>
      <w:r w:rsidR="007432FD">
        <w:rPr>
          <w:rFonts w:ascii="Bookman Old Style" w:hAnsi="Bookman Old Style"/>
          <w:sz w:val="24"/>
          <w:szCs w:val="24"/>
        </w:rPr>
        <w:t xml:space="preserve">’esenzione dalla seconda rata dell’IMU </w:t>
      </w:r>
      <w:r w:rsidR="00B6540F">
        <w:rPr>
          <w:rFonts w:ascii="Bookman Old Style" w:hAnsi="Bookman Old Style"/>
          <w:sz w:val="24"/>
          <w:szCs w:val="24"/>
        </w:rPr>
        <w:t xml:space="preserve">anche a favore dei </w:t>
      </w:r>
      <w:r>
        <w:rPr>
          <w:rFonts w:ascii="Bookman Old Style" w:hAnsi="Bookman Old Style"/>
          <w:sz w:val="24"/>
          <w:szCs w:val="24"/>
        </w:rPr>
        <w:t>pubblici esercizi e di diverse altre attività di servizio, le cui aperture sono limitate o impedite dalle nuove misure di sicurezza sanitaria</w:t>
      </w:r>
      <w:r w:rsidR="007432FD">
        <w:rPr>
          <w:rFonts w:ascii="Bookman Old Style" w:hAnsi="Bookman Old Style"/>
          <w:sz w:val="24"/>
          <w:szCs w:val="24"/>
        </w:rPr>
        <w:t xml:space="preserve">. L’agevolazione è limitata agli immobili posseduti e utilizzati direttamente dagli esercenti delle attività. </w:t>
      </w:r>
    </w:p>
    <w:p w14:paraId="0D4091EA" w14:textId="56DB2895" w:rsidR="0096102D" w:rsidRDefault="007432FD" w:rsidP="0096102D">
      <w:pPr>
        <w:spacing w:line="360" w:lineRule="auto"/>
        <w:jc w:val="both"/>
        <w:rPr>
          <w:rFonts w:ascii="Bookman Old Style" w:hAnsi="Bookman Old Style"/>
          <w:sz w:val="24"/>
          <w:szCs w:val="24"/>
        </w:rPr>
      </w:pPr>
      <w:r>
        <w:rPr>
          <w:rFonts w:ascii="Bookman Old Style" w:hAnsi="Bookman Old Style"/>
          <w:sz w:val="24"/>
          <w:szCs w:val="24"/>
        </w:rPr>
        <w:t xml:space="preserve">La misura comporta, doverosamente un ristoro per i Comuni, </w:t>
      </w:r>
      <w:r w:rsidR="00203B4F">
        <w:rPr>
          <w:rFonts w:ascii="Bookman Old Style" w:hAnsi="Bookman Old Style"/>
          <w:sz w:val="24"/>
          <w:szCs w:val="24"/>
        </w:rPr>
        <w:t>valuta</w:t>
      </w:r>
      <w:r w:rsidR="00C248DF">
        <w:rPr>
          <w:rFonts w:ascii="Bookman Old Style" w:hAnsi="Bookman Old Style"/>
          <w:sz w:val="24"/>
          <w:szCs w:val="24"/>
        </w:rPr>
        <w:t>to</w:t>
      </w:r>
      <w:r w:rsidR="00203B4F">
        <w:rPr>
          <w:rFonts w:ascii="Bookman Old Style" w:hAnsi="Bookman Old Style"/>
          <w:sz w:val="24"/>
          <w:szCs w:val="24"/>
        </w:rPr>
        <w:t xml:space="preserve"> </w:t>
      </w:r>
      <w:r>
        <w:rPr>
          <w:rFonts w:ascii="Bookman Old Style" w:hAnsi="Bookman Old Style"/>
          <w:sz w:val="24"/>
          <w:szCs w:val="24"/>
        </w:rPr>
        <w:t>in 101,6 milioni di euro</w:t>
      </w:r>
      <w:r w:rsidR="00C248DF">
        <w:rPr>
          <w:rFonts w:ascii="Bookman Old Style" w:hAnsi="Bookman Old Style"/>
          <w:sz w:val="24"/>
          <w:szCs w:val="24"/>
        </w:rPr>
        <w:t xml:space="preserve"> (art. 9)</w:t>
      </w:r>
      <w:r>
        <w:rPr>
          <w:rFonts w:ascii="Bookman Old Style" w:hAnsi="Bookman Old Style"/>
          <w:sz w:val="24"/>
          <w:szCs w:val="24"/>
        </w:rPr>
        <w:t xml:space="preserve">, sulla base di stime del </w:t>
      </w:r>
      <w:proofErr w:type="spellStart"/>
      <w:r>
        <w:rPr>
          <w:rFonts w:ascii="Bookman Old Style" w:hAnsi="Bookman Old Style"/>
          <w:sz w:val="24"/>
          <w:szCs w:val="24"/>
        </w:rPr>
        <w:t>Mef</w:t>
      </w:r>
      <w:proofErr w:type="spellEnd"/>
      <w:r>
        <w:rPr>
          <w:rFonts w:ascii="Bookman Old Style" w:hAnsi="Bookman Old Style"/>
          <w:sz w:val="24"/>
          <w:szCs w:val="24"/>
        </w:rPr>
        <w:t xml:space="preserve"> che dovranno essere articolate in import</w:t>
      </w:r>
      <w:r w:rsidR="00C248DF">
        <w:rPr>
          <w:rFonts w:ascii="Bookman Old Style" w:hAnsi="Bookman Old Style"/>
          <w:sz w:val="24"/>
          <w:szCs w:val="24"/>
        </w:rPr>
        <w:t>i</w:t>
      </w:r>
      <w:r>
        <w:rPr>
          <w:rFonts w:ascii="Bookman Old Style" w:hAnsi="Bookman Old Style"/>
          <w:sz w:val="24"/>
          <w:szCs w:val="24"/>
        </w:rPr>
        <w:t xml:space="preserve"> da assegnare a ciascun Comune</w:t>
      </w:r>
      <w:r w:rsidR="00203B4F">
        <w:rPr>
          <w:rFonts w:ascii="Bookman Old Style" w:hAnsi="Bookman Old Style"/>
          <w:sz w:val="24"/>
          <w:szCs w:val="24"/>
        </w:rPr>
        <w:t>, in tempi che l’ANCI auspica più brevi dei 60 giorni previsti dalla norma</w:t>
      </w:r>
      <w:r>
        <w:rPr>
          <w:rFonts w:ascii="Bookman Old Style" w:hAnsi="Bookman Old Style"/>
          <w:sz w:val="24"/>
          <w:szCs w:val="24"/>
        </w:rPr>
        <w:t>.</w:t>
      </w:r>
    </w:p>
    <w:p w14:paraId="30B0B525" w14:textId="73FCDF2F" w:rsidR="0048665A" w:rsidRDefault="0048665A" w:rsidP="0096102D">
      <w:pPr>
        <w:spacing w:line="360" w:lineRule="auto"/>
        <w:jc w:val="both"/>
        <w:rPr>
          <w:rFonts w:ascii="Bookman Old Style" w:hAnsi="Bookman Old Style"/>
          <w:sz w:val="24"/>
          <w:szCs w:val="24"/>
        </w:rPr>
      </w:pPr>
      <w:r>
        <w:rPr>
          <w:rFonts w:ascii="Bookman Old Style" w:hAnsi="Bookman Old Style"/>
          <w:sz w:val="24"/>
          <w:szCs w:val="24"/>
        </w:rPr>
        <w:t xml:space="preserve">Riteniamo poi opportuno far presente che </w:t>
      </w:r>
      <w:r w:rsidRPr="00B6540F">
        <w:rPr>
          <w:rFonts w:ascii="Bookman Old Style" w:hAnsi="Bookman Old Style"/>
          <w:b/>
          <w:bCs/>
          <w:sz w:val="24"/>
          <w:szCs w:val="24"/>
        </w:rPr>
        <w:t>la nuova e drammatica ondata pandemica</w:t>
      </w:r>
      <w:r>
        <w:rPr>
          <w:rFonts w:ascii="Bookman Old Style" w:hAnsi="Bookman Old Style"/>
          <w:sz w:val="24"/>
          <w:szCs w:val="24"/>
        </w:rPr>
        <w:t xml:space="preserve"> con i relativi provvedimenti di blocco motiva </w:t>
      </w:r>
      <w:r w:rsidR="00B6540F">
        <w:rPr>
          <w:rFonts w:ascii="Bookman Old Style" w:hAnsi="Bookman Old Style"/>
          <w:sz w:val="24"/>
          <w:szCs w:val="24"/>
        </w:rPr>
        <w:t>e</w:t>
      </w:r>
      <w:r>
        <w:rPr>
          <w:rFonts w:ascii="Bookman Old Style" w:hAnsi="Bookman Old Style"/>
          <w:sz w:val="24"/>
          <w:szCs w:val="24"/>
        </w:rPr>
        <w:t xml:space="preserve"> rende </w:t>
      </w:r>
      <w:r w:rsidRPr="00B6540F">
        <w:rPr>
          <w:rFonts w:ascii="Bookman Old Style" w:hAnsi="Bookman Old Style"/>
          <w:b/>
          <w:bCs/>
          <w:sz w:val="24"/>
          <w:szCs w:val="24"/>
        </w:rPr>
        <w:t>necessario dare nuovi strumenti finanziari ai sindaci</w:t>
      </w:r>
      <w:r>
        <w:rPr>
          <w:rFonts w:ascii="Bookman Old Style" w:hAnsi="Bookman Old Style"/>
          <w:sz w:val="24"/>
          <w:szCs w:val="24"/>
        </w:rPr>
        <w:t xml:space="preserve"> per dare risposte alle fasce più deboli delle nostre comunità. Quindi accanto ai necessari ristori, sarebbe opportuno </w:t>
      </w:r>
      <w:r w:rsidRPr="00B6540F">
        <w:rPr>
          <w:rFonts w:ascii="Bookman Old Style" w:hAnsi="Bookman Old Style"/>
          <w:b/>
          <w:bCs/>
          <w:sz w:val="24"/>
          <w:szCs w:val="24"/>
        </w:rPr>
        <w:t xml:space="preserve">rifinanziare l’ordinanza di protezione civile </w:t>
      </w:r>
      <w:r w:rsidR="0016754C" w:rsidRPr="00B6540F">
        <w:rPr>
          <w:rFonts w:ascii="Bookman Old Style" w:hAnsi="Bookman Old Style"/>
          <w:b/>
          <w:bCs/>
          <w:sz w:val="24"/>
          <w:szCs w:val="24"/>
        </w:rPr>
        <w:t xml:space="preserve">di fine marzo che ha consentito ai Comuni di erogare </w:t>
      </w:r>
      <w:r w:rsidR="007B1258">
        <w:rPr>
          <w:rFonts w:ascii="Bookman Old Style" w:hAnsi="Bookman Old Style"/>
          <w:b/>
          <w:bCs/>
          <w:sz w:val="24"/>
          <w:szCs w:val="24"/>
        </w:rPr>
        <w:t xml:space="preserve">i </w:t>
      </w:r>
      <w:r w:rsidR="0016754C" w:rsidRPr="00B6540F">
        <w:rPr>
          <w:rFonts w:ascii="Bookman Old Style" w:hAnsi="Bookman Old Style"/>
          <w:b/>
          <w:bCs/>
          <w:sz w:val="24"/>
          <w:szCs w:val="24"/>
        </w:rPr>
        <w:t xml:space="preserve">cd </w:t>
      </w:r>
      <w:r w:rsidR="007B1258">
        <w:rPr>
          <w:rFonts w:ascii="Bookman Old Style" w:hAnsi="Bookman Old Style"/>
          <w:b/>
          <w:bCs/>
          <w:sz w:val="24"/>
          <w:szCs w:val="24"/>
        </w:rPr>
        <w:t>“</w:t>
      </w:r>
      <w:r w:rsidR="0016754C" w:rsidRPr="00B6540F">
        <w:rPr>
          <w:rFonts w:ascii="Bookman Old Style" w:hAnsi="Bookman Old Style"/>
          <w:b/>
          <w:bCs/>
          <w:sz w:val="24"/>
          <w:szCs w:val="24"/>
        </w:rPr>
        <w:t>buoni spesa</w:t>
      </w:r>
      <w:r w:rsidR="007B1258">
        <w:rPr>
          <w:rFonts w:ascii="Bookman Old Style" w:hAnsi="Bookman Old Style"/>
          <w:b/>
          <w:bCs/>
          <w:sz w:val="24"/>
          <w:szCs w:val="24"/>
        </w:rPr>
        <w:t>”</w:t>
      </w:r>
      <w:r w:rsidR="0016754C">
        <w:rPr>
          <w:rFonts w:ascii="Bookman Old Style" w:hAnsi="Bookman Old Style"/>
          <w:sz w:val="24"/>
          <w:szCs w:val="24"/>
        </w:rPr>
        <w:t>.</w:t>
      </w:r>
    </w:p>
    <w:p w14:paraId="6C044CC6" w14:textId="77777777" w:rsidR="0096102D" w:rsidRPr="0096102D" w:rsidRDefault="0096102D" w:rsidP="0096102D">
      <w:pPr>
        <w:spacing w:line="360" w:lineRule="auto"/>
        <w:jc w:val="both"/>
        <w:rPr>
          <w:rFonts w:ascii="Bookman Old Style" w:hAnsi="Bookman Old Style"/>
          <w:sz w:val="24"/>
          <w:szCs w:val="24"/>
        </w:rPr>
      </w:pPr>
    </w:p>
    <w:p w14:paraId="68A2F5A6" w14:textId="7C022F8D" w:rsidR="0096102D" w:rsidRPr="00B20EDA" w:rsidRDefault="0096102D" w:rsidP="00B20EDA">
      <w:pPr>
        <w:pStyle w:val="Titolo2"/>
        <w:spacing w:after="120"/>
        <w:rPr>
          <w:b/>
          <w:bCs/>
          <w:sz w:val="28"/>
          <w:szCs w:val="28"/>
        </w:rPr>
      </w:pPr>
      <w:bookmarkStart w:id="2" w:name="_Toc55825891"/>
      <w:r w:rsidRPr="00B20EDA">
        <w:rPr>
          <w:b/>
          <w:bCs/>
          <w:sz w:val="28"/>
          <w:szCs w:val="28"/>
        </w:rPr>
        <w:t>Regole finanziarie e ulteriori sostegni a fronte del prolungamento dell’emergenza</w:t>
      </w:r>
      <w:bookmarkEnd w:id="2"/>
    </w:p>
    <w:p w14:paraId="1B315912" w14:textId="1D7BBCF2" w:rsidR="00550DC7" w:rsidRDefault="00550DC7" w:rsidP="00715268">
      <w:pPr>
        <w:spacing w:line="360" w:lineRule="auto"/>
        <w:jc w:val="both"/>
        <w:rPr>
          <w:rFonts w:ascii="Bookman Old Style" w:hAnsi="Bookman Old Style"/>
          <w:sz w:val="24"/>
          <w:szCs w:val="24"/>
        </w:rPr>
      </w:pPr>
      <w:r>
        <w:rPr>
          <w:rFonts w:ascii="Bookman Old Style" w:hAnsi="Bookman Old Style"/>
          <w:sz w:val="24"/>
          <w:szCs w:val="24"/>
        </w:rPr>
        <w:t xml:space="preserve">Come è noto, l’ANCI ha espresso soddisfazione per il complessivo apparato di sostegno alle perdite di gettito e alle maggiori spese che, in particolare con i decreti 34 e 104, sono stati accordati ai Comuni per fronteggiare l’attuale grave crisi. Sono stati stanziati </w:t>
      </w:r>
      <w:r w:rsidR="001D273B">
        <w:rPr>
          <w:rFonts w:ascii="Bookman Old Style" w:hAnsi="Bookman Old Style"/>
          <w:sz w:val="24"/>
          <w:szCs w:val="24"/>
        </w:rPr>
        <w:t xml:space="preserve">6,3 mld. di cui oltre 4,6 mld. già erogati e circa 1,5 mld.  in corso di </w:t>
      </w:r>
      <w:r w:rsidR="00203B4F">
        <w:rPr>
          <w:rFonts w:ascii="Bookman Old Style" w:hAnsi="Bookman Old Style"/>
          <w:sz w:val="24"/>
          <w:szCs w:val="24"/>
        </w:rPr>
        <w:t>assegnazione o erogazione nelle prossime settimane</w:t>
      </w:r>
      <w:r w:rsidR="001D273B">
        <w:rPr>
          <w:rFonts w:ascii="Bookman Old Style" w:hAnsi="Bookman Old Style"/>
          <w:sz w:val="24"/>
          <w:szCs w:val="24"/>
        </w:rPr>
        <w:t>, come riportato nel prospetto che segue.</w:t>
      </w:r>
    </w:p>
    <w:p w14:paraId="45929550" w14:textId="05DF1CD7" w:rsidR="001D273B" w:rsidRDefault="001D273B" w:rsidP="00715268">
      <w:pPr>
        <w:spacing w:line="360" w:lineRule="auto"/>
        <w:jc w:val="both"/>
        <w:rPr>
          <w:rFonts w:ascii="Bookman Old Style" w:hAnsi="Bookman Old Style"/>
          <w:sz w:val="24"/>
          <w:szCs w:val="24"/>
        </w:rPr>
      </w:pPr>
      <w:r w:rsidRPr="001D273B">
        <w:rPr>
          <w:rFonts w:ascii="Bookman Old Style" w:hAnsi="Bookman Old Style"/>
          <w:noProof/>
          <w:sz w:val="24"/>
          <w:szCs w:val="24"/>
        </w:rPr>
        <w:lastRenderedPageBreak/>
        <w:drawing>
          <wp:inline distT="0" distB="0" distL="0" distR="0" wp14:anchorId="5B621C60" wp14:editId="103C59F6">
            <wp:extent cx="6120130" cy="3710305"/>
            <wp:effectExtent l="0" t="0" r="0" b="4445"/>
            <wp:docPr id="3" name="Immagine 2">
              <a:extLst xmlns:a="http://schemas.openxmlformats.org/drawingml/2006/main">
                <a:ext uri="{FF2B5EF4-FFF2-40B4-BE49-F238E27FC236}">
                  <a16:creationId xmlns:a16="http://schemas.microsoft.com/office/drawing/2014/main" id="{F68A30ED-B331-4036-A01E-4F5C8E2FF44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magine 2">
                      <a:extLst>
                        <a:ext uri="{FF2B5EF4-FFF2-40B4-BE49-F238E27FC236}">
                          <a16:creationId xmlns:a16="http://schemas.microsoft.com/office/drawing/2014/main" id="{F68A30ED-B331-4036-A01E-4F5C8E2FF44F}"/>
                        </a:ext>
                      </a:extLst>
                    </pic:cNvPr>
                    <pic:cNvPicPr>
                      <a:picLocks noChangeAspect="1"/>
                    </pic:cNvPicPr>
                  </pic:nvPicPr>
                  <pic:blipFill>
                    <a:blip r:embed="rId9"/>
                    <a:stretch>
                      <a:fillRect/>
                    </a:stretch>
                  </pic:blipFill>
                  <pic:spPr>
                    <a:xfrm>
                      <a:off x="0" y="0"/>
                      <a:ext cx="6120130" cy="3710305"/>
                    </a:xfrm>
                    <a:prstGeom prst="rect">
                      <a:avLst/>
                    </a:prstGeom>
                  </pic:spPr>
                </pic:pic>
              </a:graphicData>
            </a:graphic>
          </wp:inline>
        </w:drawing>
      </w:r>
    </w:p>
    <w:p w14:paraId="5175C0DF" w14:textId="2F0C6316" w:rsidR="007432FD" w:rsidRDefault="00CD4A4A" w:rsidP="00715268">
      <w:pPr>
        <w:spacing w:line="360" w:lineRule="auto"/>
        <w:jc w:val="both"/>
        <w:rPr>
          <w:rFonts w:ascii="Bookman Old Style" w:hAnsi="Bookman Old Style"/>
          <w:sz w:val="24"/>
          <w:szCs w:val="24"/>
        </w:rPr>
      </w:pPr>
      <w:r>
        <w:rPr>
          <w:rFonts w:ascii="Bookman Old Style" w:hAnsi="Bookman Old Style"/>
          <w:sz w:val="24"/>
          <w:szCs w:val="24"/>
        </w:rPr>
        <w:t>Nonostante l’indubbia efficacia del sostegno, l</w:t>
      </w:r>
      <w:r w:rsidR="001D273B">
        <w:rPr>
          <w:rFonts w:ascii="Bookman Old Style" w:hAnsi="Bookman Old Style"/>
          <w:sz w:val="24"/>
          <w:szCs w:val="24"/>
        </w:rPr>
        <w:t xml:space="preserve">a situazione di grande differenziazione </w:t>
      </w:r>
      <w:r w:rsidR="00203B4F">
        <w:rPr>
          <w:rFonts w:ascii="Bookman Old Style" w:hAnsi="Bookman Old Style"/>
          <w:sz w:val="24"/>
          <w:szCs w:val="24"/>
        </w:rPr>
        <w:t>delle condizioni finanziarie degli enti locali</w:t>
      </w:r>
      <w:r>
        <w:rPr>
          <w:rFonts w:ascii="Bookman Old Style" w:hAnsi="Bookman Old Style"/>
          <w:sz w:val="24"/>
          <w:szCs w:val="24"/>
        </w:rPr>
        <w:t xml:space="preserve"> e le </w:t>
      </w:r>
      <w:r w:rsidR="00203B4F">
        <w:rPr>
          <w:rFonts w:ascii="Bookman Old Style" w:hAnsi="Bookman Old Style"/>
          <w:sz w:val="24"/>
          <w:szCs w:val="24"/>
        </w:rPr>
        <w:t>ulteriori difficoltà che i Comuni s</w:t>
      </w:r>
      <w:r w:rsidR="007948DE">
        <w:rPr>
          <w:rFonts w:ascii="Bookman Old Style" w:hAnsi="Bookman Old Style"/>
          <w:sz w:val="24"/>
          <w:szCs w:val="24"/>
        </w:rPr>
        <w:t>t</w:t>
      </w:r>
      <w:r w:rsidR="00203B4F">
        <w:rPr>
          <w:rFonts w:ascii="Bookman Old Style" w:hAnsi="Bookman Old Style"/>
          <w:sz w:val="24"/>
          <w:szCs w:val="24"/>
        </w:rPr>
        <w:t xml:space="preserve">anno incontrando in questa nuova fase dell’emergenza, </w:t>
      </w:r>
      <w:r w:rsidR="002E7FBE">
        <w:rPr>
          <w:rFonts w:ascii="Bookman Old Style" w:hAnsi="Bookman Old Style"/>
          <w:sz w:val="24"/>
          <w:szCs w:val="24"/>
        </w:rPr>
        <w:t xml:space="preserve">rappresentano fonti di preoccupazione rispetto </w:t>
      </w:r>
      <w:r>
        <w:rPr>
          <w:rFonts w:ascii="Bookman Old Style" w:hAnsi="Bookman Old Style"/>
          <w:sz w:val="24"/>
          <w:szCs w:val="24"/>
        </w:rPr>
        <w:t>alla capacità del sistema di assicurare il mantenimento degli equilibri finanziari</w:t>
      </w:r>
      <w:r w:rsidR="002F686E">
        <w:rPr>
          <w:rFonts w:ascii="Bookman Old Style" w:hAnsi="Bookman Old Style"/>
          <w:sz w:val="24"/>
          <w:szCs w:val="24"/>
        </w:rPr>
        <w:t xml:space="preserve"> e </w:t>
      </w:r>
      <w:r w:rsidR="005D7267">
        <w:rPr>
          <w:rFonts w:ascii="Bookman Old Style" w:hAnsi="Bookman Old Style"/>
          <w:sz w:val="24"/>
          <w:szCs w:val="24"/>
        </w:rPr>
        <w:t xml:space="preserve">di </w:t>
      </w:r>
      <w:r w:rsidR="002F686E">
        <w:rPr>
          <w:rFonts w:ascii="Bookman Old Style" w:hAnsi="Bookman Old Style"/>
          <w:sz w:val="24"/>
          <w:szCs w:val="24"/>
        </w:rPr>
        <w:t>dare una prospettiva più lunga agli aiuti</w:t>
      </w:r>
      <w:r w:rsidR="0019407A">
        <w:rPr>
          <w:rFonts w:ascii="Bookman Old Style" w:hAnsi="Bookman Old Style"/>
          <w:sz w:val="24"/>
          <w:szCs w:val="24"/>
        </w:rPr>
        <w:t>,</w:t>
      </w:r>
      <w:r w:rsidR="002F686E">
        <w:rPr>
          <w:rFonts w:ascii="Bookman Old Style" w:hAnsi="Bookman Old Style"/>
          <w:sz w:val="24"/>
          <w:szCs w:val="24"/>
        </w:rPr>
        <w:t xml:space="preserve"> nella previsione di un 2021 ancora </w:t>
      </w:r>
      <w:r w:rsidR="0019407A">
        <w:rPr>
          <w:rFonts w:ascii="Bookman Old Style" w:hAnsi="Bookman Old Style"/>
          <w:sz w:val="24"/>
          <w:szCs w:val="24"/>
        </w:rPr>
        <w:t>caratterizzato dagli effetti della pandemia</w:t>
      </w:r>
      <w:r>
        <w:rPr>
          <w:rFonts w:ascii="Bookman Old Style" w:hAnsi="Bookman Old Style"/>
          <w:sz w:val="24"/>
          <w:szCs w:val="24"/>
        </w:rPr>
        <w:t>.</w:t>
      </w:r>
    </w:p>
    <w:p w14:paraId="4B04A3CC" w14:textId="5F18BF14" w:rsidR="00CD4A4A" w:rsidRPr="007948DE" w:rsidRDefault="00CD4A4A" w:rsidP="00715268">
      <w:pPr>
        <w:spacing w:line="360" w:lineRule="auto"/>
        <w:jc w:val="both"/>
        <w:rPr>
          <w:rFonts w:ascii="Bookman Old Style" w:hAnsi="Bookman Old Style"/>
          <w:b/>
          <w:bCs/>
          <w:sz w:val="24"/>
          <w:szCs w:val="24"/>
          <w:u w:val="single"/>
        </w:rPr>
      </w:pPr>
      <w:r w:rsidRPr="007948DE">
        <w:rPr>
          <w:rFonts w:ascii="Bookman Old Style" w:hAnsi="Bookman Old Style"/>
          <w:b/>
          <w:bCs/>
          <w:sz w:val="24"/>
          <w:szCs w:val="24"/>
          <w:u w:val="single"/>
        </w:rPr>
        <w:t xml:space="preserve">L’ANCI ritiene necessario </w:t>
      </w:r>
      <w:r w:rsidR="002F686E" w:rsidRPr="007948DE">
        <w:rPr>
          <w:rFonts w:ascii="Bookman Old Style" w:hAnsi="Bookman Old Style"/>
          <w:b/>
          <w:bCs/>
          <w:sz w:val="24"/>
          <w:szCs w:val="24"/>
          <w:u w:val="single"/>
        </w:rPr>
        <w:t xml:space="preserve">operare su </w:t>
      </w:r>
      <w:r w:rsidR="007F5736" w:rsidRPr="007948DE">
        <w:rPr>
          <w:rFonts w:ascii="Bookman Old Style" w:hAnsi="Bookman Old Style"/>
          <w:b/>
          <w:bCs/>
          <w:sz w:val="24"/>
          <w:szCs w:val="24"/>
          <w:u w:val="single"/>
        </w:rPr>
        <w:t xml:space="preserve">diversi piani tra loro </w:t>
      </w:r>
      <w:r w:rsidR="002F686E" w:rsidRPr="007948DE">
        <w:rPr>
          <w:rFonts w:ascii="Bookman Old Style" w:hAnsi="Bookman Old Style"/>
          <w:b/>
          <w:bCs/>
          <w:sz w:val="24"/>
          <w:szCs w:val="24"/>
          <w:u w:val="single"/>
        </w:rPr>
        <w:t>complementari:</w:t>
      </w:r>
    </w:p>
    <w:p w14:paraId="3BF62AB1" w14:textId="66236866" w:rsidR="002F686E" w:rsidRDefault="002F686E" w:rsidP="002F686E">
      <w:pPr>
        <w:pStyle w:val="Paragrafoelenco"/>
        <w:numPr>
          <w:ilvl w:val="0"/>
          <w:numId w:val="1"/>
        </w:numPr>
        <w:spacing w:line="360" w:lineRule="auto"/>
        <w:jc w:val="both"/>
        <w:rPr>
          <w:rFonts w:ascii="Bookman Old Style" w:hAnsi="Bookman Old Style"/>
          <w:sz w:val="24"/>
          <w:szCs w:val="24"/>
        </w:rPr>
      </w:pPr>
      <w:r w:rsidRPr="005D7698">
        <w:rPr>
          <w:rFonts w:ascii="Bookman Old Style" w:hAnsi="Bookman Old Style"/>
          <w:b/>
          <w:bCs/>
          <w:sz w:val="24"/>
          <w:szCs w:val="24"/>
        </w:rPr>
        <w:t>accelerare le assegnazioni</w:t>
      </w:r>
      <w:r>
        <w:rPr>
          <w:rFonts w:ascii="Bookman Old Style" w:hAnsi="Bookman Old Style"/>
          <w:sz w:val="24"/>
          <w:szCs w:val="24"/>
        </w:rPr>
        <w:t xml:space="preserve"> ancora in corso al fine di accrescere la certezza delle risorse effettivamente disponibili;</w:t>
      </w:r>
    </w:p>
    <w:p w14:paraId="77690D0F" w14:textId="4C383ADC" w:rsidR="002F686E" w:rsidRDefault="002F686E" w:rsidP="002F686E">
      <w:pPr>
        <w:pStyle w:val="Paragrafoelenco"/>
        <w:numPr>
          <w:ilvl w:val="0"/>
          <w:numId w:val="1"/>
        </w:numPr>
        <w:spacing w:line="360" w:lineRule="auto"/>
        <w:jc w:val="both"/>
        <w:rPr>
          <w:rFonts w:ascii="Bookman Old Style" w:hAnsi="Bookman Old Style"/>
          <w:sz w:val="24"/>
          <w:szCs w:val="24"/>
        </w:rPr>
      </w:pPr>
      <w:r>
        <w:rPr>
          <w:rFonts w:ascii="Bookman Old Style" w:hAnsi="Bookman Old Style"/>
          <w:sz w:val="24"/>
          <w:szCs w:val="24"/>
        </w:rPr>
        <w:t>rafforzare</w:t>
      </w:r>
      <w:r w:rsidR="0019407A">
        <w:rPr>
          <w:rFonts w:ascii="Bookman Old Style" w:hAnsi="Bookman Old Style"/>
          <w:sz w:val="24"/>
          <w:szCs w:val="24"/>
        </w:rPr>
        <w:t>,</w:t>
      </w:r>
      <w:r>
        <w:rPr>
          <w:rFonts w:ascii="Bookman Old Style" w:hAnsi="Bookman Old Style"/>
          <w:sz w:val="24"/>
          <w:szCs w:val="24"/>
        </w:rPr>
        <w:t xml:space="preserve"> anche per via legislativa</w:t>
      </w:r>
      <w:r w:rsidR="0019407A">
        <w:rPr>
          <w:rFonts w:ascii="Bookman Old Style" w:hAnsi="Bookman Old Style"/>
          <w:sz w:val="24"/>
          <w:szCs w:val="24"/>
        </w:rPr>
        <w:t>,</w:t>
      </w:r>
      <w:r>
        <w:rPr>
          <w:rFonts w:ascii="Bookman Old Style" w:hAnsi="Bookman Old Style"/>
          <w:sz w:val="24"/>
          <w:szCs w:val="24"/>
        </w:rPr>
        <w:t xml:space="preserve"> </w:t>
      </w:r>
      <w:r w:rsidR="0019407A" w:rsidRPr="005D7698">
        <w:rPr>
          <w:rFonts w:ascii="Bookman Old Style" w:hAnsi="Bookman Old Style"/>
          <w:b/>
          <w:bCs/>
          <w:sz w:val="24"/>
          <w:szCs w:val="24"/>
        </w:rPr>
        <w:t>la possibilità di utilizzare i sostegni economici già decisi per un più ampio periodo di tempo</w:t>
      </w:r>
      <w:r w:rsidR="0019407A">
        <w:rPr>
          <w:rFonts w:ascii="Bookman Old Style" w:hAnsi="Bookman Old Style"/>
          <w:sz w:val="24"/>
          <w:szCs w:val="24"/>
        </w:rPr>
        <w:t xml:space="preserve">, come è in parte già previsto </w:t>
      </w:r>
      <w:r w:rsidR="007F5736">
        <w:rPr>
          <w:rFonts w:ascii="Bookman Old Style" w:hAnsi="Bookman Old Style"/>
          <w:sz w:val="24"/>
          <w:szCs w:val="24"/>
        </w:rPr>
        <w:t>nelle modalità di certificazione dell’andamento delle entrate e delle spese nel 2020, in corso di pubblicazione</w:t>
      </w:r>
      <w:r w:rsidR="005D7698">
        <w:rPr>
          <w:rFonts w:ascii="Bookman Old Style" w:hAnsi="Bookman Old Style"/>
          <w:sz w:val="24"/>
          <w:szCs w:val="24"/>
        </w:rPr>
        <w:t>;</w:t>
      </w:r>
    </w:p>
    <w:p w14:paraId="52941493" w14:textId="7700504B" w:rsidR="007F5736" w:rsidRDefault="007F5736" w:rsidP="002F686E">
      <w:pPr>
        <w:pStyle w:val="Paragrafoelenco"/>
        <w:numPr>
          <w:ilvl w:val="0"/>
          <w:numId w:val="1"/>
        </w:numPr>
        <w:spacing w:line="360" w:lineRule="auto"/>
        <w:jc w:val="both"/>
        <w:rPr>
          <w:rFonts w:ascii="Bookman Old Style" w:hAnsi="Bookman Old Style"/>
          <w:sz w:val="24"/>
          <w:szCs w:val="24"/>
        </w:rPr>
      </w:pPr>
      <w:r w:rsidRPr="0085015B">
        <w:rPr>
          <w:rFonts w:ascii="Bookman Old Style" w:hAnsi="Bookman Old Style"/>
          <w:b/>
          <w:bCs/>
          <w:sz w:val="24"/>
          <w:szCs w:val="24"/>
        </w:rPr>
        <w:t>ampliare al 2021 tutte</w:t>
      </w:r>
      <w:r>
        <w:rPr>
          <w:rFonts w:ascii="Bookman Old Style" w:hAnsi="Bookman Old Style"/>
          <w:sz w:val="24"/>
          <w:szCs w:val="24"/>
        </w:rPr>
        <w:t xml:space="preserve"> </w:t>
      </w:r>
      <w:r w:rsidRPr="005D7698">
        <w:rPr>
          <w:rFonts w:ascii="Bookman Old Style" w:hAnsi="Bookman Old Style"/>
          <w:b/>
          <w:bCs/>
          <w:sz w:val="24"/>
          <w:szCs w:val="24"/>
        </w:rPr>
        <w:t>le facilitazioni di carattere contabile</w:t>
      </w:r>
      <w:r>
        <w:rPr>
          <w:rFonts w:ascii="Bookman Old Style" w:hAnsi="Bookman Old Style"/>
          <w:sz w:val="24"/>
          <w:szCs w:val="24"/>
        </w:rPr>
        <w:t xml:space="preserve"> che hanno permesso una gestione finanziaria e contabile più snella e flessibile (utilizzo libero degli avanzi e di altre quote v</w:t>
      </w:r>
      <w:r w:rsidR="005D7698">
        <w:rPr>
          <w:rFonts w:ascii="Bookman Old Style" w:hAnsi="Bookman Old Style"/>
          <w:sz w:val="24"/>
          <w:szCs w:val="24"/>
        </w:rPr>
        <w:t>i</w:t>
      </w:r>
      <w:r>
        <w:rPr>
          <w:rFonts w:ascii="Bookman Old Style" w:hAnsi="Bookman Old Style"/>
          <w:sz w:val="24"/>
          <w:szCs w:val="24"/>
        </w:rPr>
        <w:t>ncolate, variazioni di bilancio in esercizio provvisorio</w:t>
      </w:r>
      <w:r w:rsidR="00505D77">
        <w:rPr>
          <w:rFonts w:ascii="Bookman Old Style" w:hAnsi="Bookman Old Style"/>
          <w:sz w:val="24"/>
          <w:szCs w:val="24"/>
        </w:rPr>
        <w:t xml:space="preserve">, </w:t>
      </w:r>
      <w:r w:rsidR="00505D77" w:rsidRPr="007B1258">
        <w:rPr>
          <w:rFonts w:ascii="Bookman Old Style" w:hAnsi="Bookman Old Style"/>
          <w:b/>
          <w:bCs/>
          <w:sz w:val="24"/>
          <w:szCs w:val="24"/>
        </w:rPr>
        <w:t xml:space="preserve">mantenimento al 95% della percentuale di accantonamento </w:t>
      </w:r>
      <w:r w:rsidR="00505D77" w:rsidRPr="007B1258">
        <w:rPr>
          <w:rFonts w:ascii="Bookman Old Style" w:hAnsi="Bookman Old Style"/>
          <w:b/>
          <w:bCs/>
          <w:sz w:val="24"/>
          <w:szCs w:val="24"/>
        </w:rPr>
        <w:lastRenderedPageBreak/>
        <w:t>al FCDE</w:t>
      </w:r>
      <w:r w:rsidR="005D7698">
        <w:rPr>
          <w:rFonts w:ascii="Bookman Old Style" w:hAnsi="Bookman Old Style"/>
          <w:sz w:val="24"/>
          <w:szCs w:val="24"/>
        </w:rPr>
        <w:t xml:space="preserve">), </w:t>
      </w:r>
      <w:r w:rsidR="005D7698" w:rsidRPr="0085015B">
        <w:rPr>
          <w:rFonts w:ascii="Bookman Old Style" w:hAnsi="Bookman Old Style"/>
          <w:b/>
          <w:bCs/>
          <w:sz w:val="24"/>
          <w:szCs w:val="24"/>
        </w:rPr>
        <w:t>ampliandone la portata soprattutto con riferimento agli enti in disavanz</w:t>
      </w:r>
      <w:r w:rsidR="0085015B">
        <w:rPr>
          <w:rFonts w:ascii="Bookman Old Style" w:hAnsi="Bookman Old Style"/>
          <w:b/>
          <w:bCs/>
          <w:sz w:val="24"/>
          <w:szCs w:val="24"/>
        </w:rPr>
        <w:t>o</w:t>
      </w:r>
      <w:r w:rsidR="005D7698">
        <w:rPr>
          <w:rFonts w:ascii="Bookman Old Style" w:hAnsi="Bookman Old Style"/>
          <w:sz w:val="24"/>
          <w:szCs w:val="24"/>
        </w:rPr>
        <w:t>;</w:t>
      </w:r>
    </w:p>
    <w:p w14:paraId="0E031B2A" w14:textId="470B104D" w:rsidR="00505D77" w:rsidRDefault="005D7698" w:rsidP="002F686E">
      <w:pPr>
        <w:pStyle w:val="Paragrafoelenco"/>
        <w:numPr>
          <w:ilvl w:val="0"/>
          <w:numId w:val="1"/>
        </w:numPr>
        <w:spacing w:line="360" w:lineRule="auto"/>
        <w:jc w:val="both"/>
        <w:rPr>
          <w:rFonts w:ascii="Bookman Old Style" w:hAnsi="Bookman Old Style"/>
          <w:sz w:val="24"/>
          <w:szCs w:val="24"/>
        </w:rPr>
      </w:pPr>
      <w:r w:rsidRPr="005D7698">
        <w:rPr>
          <w:rFonts w:ascii="Bookman Old Style" w:hAnsi="Bookman Old Style"/>
          <w:b/>
          <w:bCs/>
          <w:sz w:val="24"/>
          <w:szCs w:val="24"/>
        </w:rPr>
        <w:t>proseguire il monitoraggio</w:t>
      </w:r>
      <w:r>
        <w:rPr>
          <w:rFonts w:ascii="Bookman Old Style" w:hAnsi="Bookman Old Style"/>
          <w:sz w:val="24"/>
          <w:szCs w:val="24"/>
        </w:rPr>
        <w:t xml:space="preserve"> della situazione finanziaria degli enti locali anche con riferimento al 2021 e </w:t>
      </w:r>
      <w:r w:rsidRPr="005D7698">
        <w:rPr>
          <w:rFonts w:ascii="Bookman Old Style" w:hAnsi="Bookman Old Style"/>
          <w:b/>
          <w:bCs/>
          <w:sz w:val="24"/>
          <w:szCs w:val="24"/>
        </w:rPr>
        <w:t>appostare fin d’ora un consistente ammontare di risorse di sostegno</w:t>
      </w:r>
      <w:r>
        <w:rPr>
          <w:rFonts w:ascii="Bookman Old Style" w:hAnsi="Bookman Old Style"/>
          <w:sz w:val="24"/>
          <w:szCs w:val="24"/>
        </w:rPr>
        <w:t>, al fine di infondere tra gli operatori e gli amministratori locali la fiducia necessaria per il mantenimento delle capacità di spesa degli enti fin dalla fase delle previsioni 2021</w:t>
      </w:r>
      <w:r w:rsidR="0096102D">
        <w:rPr>
          <w:rFonts w:ascii="Bookman Old Style" w:hAnsi="Bookman Old Style"/>
          <w:sz w:val="24"/>
          <w:szCs w:val="24"/>
        </w:rPr>
        <w:t>. È già prevedibile, peraltro, l’esigenza di un sostegno con riferimento</w:t>
      </w:r>
      <w:r w:rsidR="007948DE">
        <w:rPr>
          <w:rFonts w:ascii="Bookman Old Style" w:hAnsi="Bookman Old Style"/>
          <w:sz w:val="24"/>
          <w:szCs w:val="24"/>
        </w:rPr>
        <w:t>:</w:t>
      </w:r>
    </w:p>
    <w:p w14:paraId="3669753B" w14:textId="77777777" w:rsidR="00505D77" w:rsidRDefault="0096102D" w:rsidP="00505D77">
      <w:pPr>
        <w:pStyle w:val="Paragrafoelenco"/>
        <w:numPr>
          <w:ilvl w:val="1"/>
          <w:numId w:val="1"/>
        </w:numPr>
        <w:spacing w:line="360" w:lineRule="auto"/>
        <w:jc w:val="both"/>
        <w:rPr>
          <w:rFonts w:ascii="Bookman Old Style" w:hAnsi="Bookman Old Style"/>
          <w:sz w:val="24"/>
          <w:szCs w:val="24"/>
        </w:rPr>
      </w:pPr>
      <w:r>
        <w:rPr>
          <w:rFonts w:ascii="Bookman Old Style" w:hAnsi="Bookman Old Style"/>
          <w:sz w:val="24"/>
          <w:szCs w:val="24"/>
        </w:rPr>
        <w:t xml:space="preserve">all’imposta di soggiorno e alle entrate collegate ai flussi turistici, la cui ripresa risulterà ben più lenta del previsto, </w:t>
      </w:r>
    </w:p>
    <w:p w14:paraId="0A53DEA8" w14:textId="77777777" w:rsidR="00505D77" w:rsidRDefault="0096102D" w:rsidP="00505D77">
      <w:pPr>
        <w:pStyle w:val="Paragrafoelenco"/>
        <w:numPr>
          <w:ilvl w:val="1"/>
          <w:numId w:val="1"/>
        </w:numPr>
        <w:spacing w:line="360" w:lineRule="auto"/>
        <w:jc w:val="both"/>
        <w:rPr>
          <w:rFonts w:ascii="Bookman Old Style" w:hAnsi="Bookman Old Style"/>
          <w:sz w:val="24"/>
          <w:szCs w:val="24"/>
        </w:rPr>
      </w:pPr>
      <w:r>
        <w:rPr>
          <w:rFonts w:ascii="Bookman Old Style" w:hAnsi="Bookman Old Style"/>
          <w:sz w:val="24"/>
          <w:szCs w:val="24"/>
        </w:rPr>
        <w:t xml:space="preserve">all’addizionale comunale all’Irpef, sulla quale i riflessi della stessa crisi attraversata nel 2020 emergeranno il prossimo anno, </w:t>
      </w:r>
    </w:p>
    <w:p w14:paraId="23B317AD" w14:textId="2AAA443F" w:rsidR="005D7698" w:rsidRDefault="00505D77" w:rsidP="00505D77">
      <w:pPr>
        <w:pStyle w:val="Paragrafoelenco"/>
        <w:numPr>
          <w:ilvl w:val="1"/>
          <w:numId w:val="1"/>
        </w:numPr>
        <w:spacing w:line="360" w:lineRule="auto"/>
        <w:jc w:val="both"/>
        <w:rPr>
          <w:rFonts w:ascii="Bookman Old Style" w:hAnsi="Bookman Old Style"/>
          <w:sz w:val="24"/>
          <w:szCs w:val="24"/>
        </w:rPr>
      </w:pPr>
      <w:r>
        <w:rPr>
          <w:rFonts w:ascii="Bookman Old Style" w:hAnsi="Bookman Old Style"/>
          <w:sz w:val="24"/>
          <w:szCs w:val="24"/>
        </w:rPr>
        <w:t>alla Tari, il cui andamento potrà essere valutato solo nel corso del prossimo semestre, per effetto del ritardo con il quale quasi ovunque sono state inviati i documenti di pagamento relativi al 2020</w:t>
      </w:r>
      <w:r w:rsidR="007B1258">
        <w:rPr>
          <w:rFonts w:ascii="Bookman Old Style" w:hAnsi="Bookman Old Style"/>
          <w:sz w:val="24"/>
          <w:szCs w:val="24"/>
        </w:rPr>
        <w:t>;</w:t>
      </w:r>
    </w:p>
    <w:p w14:paraId="7D1470E4" w14:textId="6F496BEF" w:rsidR="005D7267" w:rsidRPr="005D7267" w:rsidRDefault="005D7267" w:rsidP="002F686E">
      <w:pPr>
        <w:pStyle w:val="Paragrafoelenco"/>
        <w:numPr>
          <w:ilvl w:val="0"/>
          <w:numId w:val="1"/>
        </w:numPr>
        <w:spacing w:line="360" w:lineRule="auto"/>
        <w:jc w:val="both"/>
        <w:rPr>
          <w:rFonts w:ascii="Bookman Old Style" w:hAnsi="Bookman Old Style"/>
          <w:sz w:val="24"/>
          <w:szCs w:val="24"/>
        </w:rPr>
      </w:pPr>
      <w:r>
        <w:rPr>
          <w:rFonts w:ascii="Bookman Old Style" w:hAnsi="Bookman Old Style"/>
          <w:b/>
          <w:bCs/>
          <w:sz w:val="24"/>
          <w:szCs w:val="24"/>
        </w:rPr>
        <w:t xml:space="preserve">allontanare adempimenti in scadenza </w:t>
      </w:r>
      <w:r w:rsidRPr="009A1CCA">
        <w:rPr>
          <w:rFonts w:ascii="Bookman Old Style" w:hAnsi="Bookman Old Style"/>
          <w:sz w:val="24"/>
          <w:szCs w:val="24"/>
        </w:rPr>
        <w:t>che non possono essere praticati nelle attuali condizioni</w:t>
      </w:r>
      <w:r w:rsidRPr="005D7267">
        <w:rPr>
          <w:rFonts w:ascii="Bookman Old Style" w:hAnsi="Bookman Old Style"/>
          <w:sz w:val="24"/>
          <w:szCs w:val="24"/>
        </w:rPr>
        <w:t>:</w:t>
      </w:r>
    </w:p>
    <w:p w14:paraId="03970D5E" w14:textId="3073BC42" w:rsidR="005D7267" w:rsidRPr="005D7267" w:rsidRDefault="005D7267" w:rsidP="005D7267">
      <w:pPr>
        <w:pStyle w:val="Paragrafoelenco"/>
        <w:numPr>
          <w:ilvl w:val="1"/>
          <w:numId w:val="1"/>
        </w:numPr>
        <w:spacing w:line="360" w:lineRule="auto"/>
        <w:jc w:val="both"/>
        <w:rPr>
          <w:rFonts w:ascii="Bookman Old Style" w:hAnsi="Bookman Old Style"/>
          <w:sz w:val="24"/>
          <w:szCs w:val="24"/>
        </w:rPr>
      </w:pPr>
      <w:r w:rsidRPr="0085015B">
        <w:rPr>
          <w:rFonts w:ascii="Bookman Old Style" w:hAnsi="Bookman Old Style"/>
          <w:b/>
          <w:bCs/>
          <w:sz w:val="24"/>
          <w:szCs w:val="24"/>
        </w:rPr>
        <w:t xml:space="preserve">proroga dell’adozione del </w:t>
      </w:r>
      <w:proofErr w:type="spellStart"/>
      <w:r w:rsidRPr="0085015B">
        <w:rPr>
          <w:rFonts w:ascii="Bookman Old Style" w:hAnsi="Bookman Old Style"/>
          <w:b/>
          <w:bCs/>
          <w:sz w:val="24"/>
          <w:szCs w:val="24"/>
        </w:rPr>
        <w:t>Pef</w:t>
      </w:r>
      <w:proofErr w:type="spellEnd"/>
      <w:r w:rsidRPr="0085015B">
        <w:rPr>
          <w:rFonts w:ascii="Bookman Old Style" w:hAnsi="Bookman Old Style"/>
          <w:b/>
          <w:bCs/>
          <w:sz w:val="24"/>
          <w:szCs w:val="24"/>
        </w:rPr>
        <w:t xml:space="preserve"> rifiuti e delle tariffe e dei regolamenti </w:t>
      </w:r>
      <w:r w:rsidR="0085015B">
        <w:rPr>
          <w:rFonts w:ascii="Bookman Old Style" w:hAnsi="Bookman Old Style"/>
          <w:b/>
          <w:bCs/>
          <w:sz w:val="24"/>
          <w:szCs w:val="24"/>
        </w:rPr>
        <w:t>T</w:t>
      </w:r>
      <w:r w:rsidRPr="0085015B">
        <w:rPr>
          <w:rFonts w:ascii="Bookman Old Style" w:hAnsi="Bookman Old Style"/>
          <w:b/>
          <w:bCs/>
          <w:sz w:val="24"/>
          <w:szCs w:val="24"/>
        </w:rPr>
        <w:t>ari</w:t>
      </w:r>
      <w:r w:rsidRPr="005D7267">
        <w:rPr>
          <w:rFonts w:ascii="Bookman Old Style" w:hAnsi="Bookman Old Style"/>
          <w:sz w:val="24"/>
          <w:szCs w:val="24"/>
        </w:rPr>
        <w:t xml:space="preserve"> al 30 aprile 2021</w:t>
      </w:r>
      <w:r w:rsidR="0085015B">
        <w:rPr>
          <w:rFonts w:ascii="Bookman Old Style" w:hAnsi="Bookman Old Style"/>
          <w:sz w:val="24"/>
          <w:szCs w:val="24"/>
        </w:rPr>
        <w:t>, anche sganciandone il collegamento con la scadenza della deliberazione del bilancio di previsione (attualm</w:t>
      </w:r>
      <w:r w:rsidR="0096102D">
        <w:rPr>
          <w:rFonts w:ascii="Bookman Old Style" w:hAnsi="Bookman Old Style"/>
          <w:sz w:val="24"/>
          <w:szCs w:val="24"/>
        </w:rPr>
        <w:t>e</w:t>
      </w:r>
      <w:r w:rsidR="0085015B">
        <w:rPr>
          <w:rFonts w:ascii="Bookman Old Style" w:hAnsi="Bookman Old Style"/>
          <w:sz w:val="24"/>
          <w:szCs w:val="24"/>
        </w:rPr>
        <w:t>nte fissato al 31 gennaio 2021)</w:t>
      </w:r>
      <w:r w:rsidRPr="005D7267">
        <w:rPr>
          <w:rFonts w:ascii="Bookman Old Style" w:hAnsi="Bookman Old Style"/>
          <w:sz w:val="24"/>
          <w:szCs w:val="24"/>
        </w:rPr>
        <w:t>;</w:t>
      </w:r>
    </w:p>
    <w:p w14:paraId="155F569F" w14:textId="574290A9" w:rsidR="00E15DE6" w:rsidRPr="009A1CCA" w:rsidRDefault="005D7267" w:rsidP="009A1CCA">
      <w:pPr>
        <w:pStyle w:val="Paragrafoelenco"/>
        <w:numPr>
          <w:ilvl w:val="1"/>
          <w:numId w:val="1"/>
        </w:numPr>
        <w:spacing w:line="360" w:lineRule="auto"/>
        <w:jc w:val="both"/>
        <w:rPr>
          <w:rFonts w:ascii="Bookman Old Style" w:hAnsi="Bookman Old Style"/>
          <w:sz w:val="24"/>
          <w:szCs w:val="24"/>
        </w:rPr>
      </w:pPr>
      <w:r w:rsidRPr="009A1CCA">
        <w:rPr>
          <w:rFonts w:ascii="Bookman Old Style" w:hAnsi="Bookman Old Style"/>
          <w:b/>
          <w:bCs/>
          <w:sz w:val="24"/>
          <w:szCs w:val="24"/>
        </w:rPr>
        <w:t>proroga dell’entrata in vigore del Canone unico</w:t>
      </w:r>
      <w:r w:rsidR="0085015B" w:rsidRPr="009A1CCA">
        <w:rPr>
          <w:rFonts w:ascii="Bookman Old Style" w:hAnsi="Bookman Old Style"/>
          <w:b/>
          <w:bCs/>
          <w:sz w:val="24"/>
          <w:szCs w:val="24"/>
        </w:rPr>
        <w:t xml:space="preserve"> al 2022, </w:t>
      </w:r>
      <w:r w:rsidR="007948DE">
        <w:rPr>
          <w:rFonts w:ascii="Bookman Old Style" w:hAnsi="Bookman Old Style"/>
          <w:b/>
          <w:bCs/>
          <w:sz w:val="24"/>
          <w:szCs w:val="24"/>
        </w:rPr>
        <w:t xml:space="preserve">ovvero facoltà per l’anno 2021, </w:t>
      </w:r>
      <w:r w:rsidR="0085015B" w:rsidRPr="009A1CCA">
        <w:rPr>
          <w:rFonts w:ascii="Bookman Old Style" w:hAnsi="Bookman Old Style"/>
          <w:sz w:val="24"/>
          <w:szCs w:val="24"/>
        </w:rPr>
        <w:t>disponendo eventualmente</w:t>
      </w:r>
      <w:r w:rsidR="0085015B" w:rsidRPr="009A1CCA">
        <w:rPr>
          <w:rFonts w:ascii="Bookman Old Style" w:hAnsi="Bookman Old Style"/>
          <w:b/>
          <w:bCs/>
          <w:sz w:val="24"/>
          <w:szCs w:val="24"/>
        </w:rPr>
        <w:t xml:space="preserve"> </w:t>
      </w:r>
      <w:r w:rsidR="0085015B" w:rsidRPr="009A1CCA">
        <w:rPr>
          <w:rFonts w:ascii="Bookman Old Style" w:hAnsi="Bookman Old Style"/>
          <w:sz w:val="24"/>
          <w:szCs w:val="24"/>
        </w:rPr>
        <w:t>la riduzione del canone sui mercati con temporaneo finanziamento statale</w:t>
      </w:r>
      <w:r w:rsidR="009A1CCA" w:rsidRPr="009A1CCA">
        <w:rPr>
          <w:rFonts w:ascii="Bookman Old Style" w:hAnsi="Bookman Old Style"/>
          <w:sz w:val="24"/>
          <w:szCs w:val="24"/>
        </w:rPr>
        <w:t>. Le novità normative connesse al COVID, nonché la necessità di fronteggiare i perduranti effetti della</w:t>
      </w:r>
      <w:r w:rsidR="009A1CCA">
        <w:rPr>
          <w:rFonts w:ascii="Bookman Old Style" w:hAnsi="Bookman Old Style"/>
          <w:sz w:val="24"/>
          <w:szCs w:val="24"/>
        </w:rPr>
        <w:t xml:space="preserve"> </w:t>
      </w:r>
      <w:r w:rsidR="009A1CCA" w:rsidRPr="009A1CCA">
        <w:rPr>
          <w:rFonts w:ascii="Bookman Old Style" w:hAnsi="Bookman Old Style"/>
          <w:sz w:val="24"/>
          <w:szCs w:val="24"/>
        </w:rPr>
        <w:t>pandemia</w:t>
      </w:r>
      <w:r w:rsidR="009A1CCA">
        <w:rPr>
          <w:rFonts w:ascii="Bookman Old Style" w:hAnsi="Bookman Old Style"/>
          <w:sz w:val="24"/>
          <w:szCs w:val="24"/>
        </w:rPr>
        <w:t>, rendono impossibili gli adempimenti connessi alla revisione delle tariffe e dei regolamenti dei prelievi sull’occupazione di spazi pubblici e sulla pubblicità</w:t>
      </w:r>
      <w:r w:rsidR="009A1CCA" w:rsidRPr="009A1CCA">
        <w:rPr>
          <w:rFonts w:ascii="Bookman Old Style" w:hAnsi="Bookman Old Style"/>
          <w:sz w:val="24"/>
          <w:szCs w:val="24"/>
        </w:rPr>
        <w:t xml:space="preserve"> cui i Comuni sono chiamati anche attraverso un’attenta politica della fiscalità</w:t>
      </w:r>
      <w:r w:rsidRPr="009A1CCA">
        <w:rPr>
          <w:rFonts w:ascii="Bookman Old Style" w:hAnsi="Bookman Old Style"/>
          <w:sz w:val="24"/>
          <w:szCs w:val="24"/>
        </w:rPr>
        <w:t>;</w:t>
      </w:r>
    </w:p>
    <w:p w14:paraId="540EEB62" w14:textId="1B779D53" w:rsidR="0096102D" w:rsidRPr="00E15DE6" w:rsidRDefault="0096102D" w:rsidP="00E15DE6">
      <w:pPr>
        <w:pStyle w:val="Paragrafoelenco"/>
        <w:numPr>
          <w:ilvl w:val="1"/>
          <w:numId w:val="1"/>
        </w:numPr>
        <w:spacing w:line="360" w:lineRule="auto"/>
        <w:jc w:val="both"/>
        <w:rPr>
          <w:rFonts w:ascii="Bookman Old Style" w:hAnsi="Bookman Old Style"/>
          <w:sz w:val="24"/>
          <w:szCs w:val="24"/>
        </w:rPr>
      </w:pPr>
      <w:r w:rsidRPr="00E15DE6">
        <w:rPr>
          <w:rFonts w:ascii="Bookman Old Style" w:hAnsi="Bookman Old Style"/>
          <w:b/>
          <w:bCs/>
          <w:sz w:val="24"/>
          <w:szCs w:val="24"/>
        </w:rPr>
        <w:t xml:space="preserve">proroga </w:t>
      </w:r>
      <w:r w:rsidR="00E15DE6" w:rsidRPr="00E15DE6">
        <w:rPr>
          <w:rFonts w:ascii="Bookman Old Style" w:hAnsi="Bookman Old Style"/>
          <w:b/>
          <w:bCs/>
          <w:sz w:val="24"/>
          <w:szCs w:val="24"/>
        </w:rPr>
        <w:t xml:space="preserve">al 2022 </w:t>
      </w:r>
      <w:r w:rsidRPr="00E15DE6">
        <w:rPr>
          <w:rFonts w:ascii="Bookman Old Style" w:hAnsi="Bookman Old Style"/>
          <w:b/>
          <w:bCs/>
          <w:sz w:val="24"/>
          <w:szCs w:val="24"/>
        </w:rPr>
        <w:t>dell’entrata in vigore del Fondo di garanzia debiti commerciali</w:t>
      </w:r>
      <w:r w:rsidR="00E15DE6" w:rsidRPr="00E15DE6">
        <w:rPr>
          <w:rFonts w:ascii="Bookman Old Style" w:hAnsi="Bookman Old Style"/>
          <w:b/>
          <w:bCs/>
          <w:sz w:val="24"/>
          <w:szCs w:val="24"/>
        </w:rPr>
        <w:t xml:space="preserve"> (FGDC)</w:t>
      </w:r>
      <w:r w:rsidR="007948DE">
        <w:rPr>
          <w:rFonts w:ascii="Bookman Old Style" w:hAnsi="Bookman Old Style"/>
          <w:b/>
          <w:bCs/>
          <w:sz w:val="24"/>
          <w:szCs w:val="24"/>
        </w:rPr>
        <w:t xml:space="preserve"> ovvero l’introduzione di una normativa che accompagni nel tempo i Comuni </w:t>
      </w:r>
      <w:r w:rsidR="0048665A">
        <w:rPr>
          <w:rFonts w:ascii="Bookman Old Style" w:hAnsi="Bookman Old Style"/>
          <w:b/>
          <w:bCs/>
          <w:sz w:val="24"/>
          <w:szCs w:val="24"/>
        </w:rPr>
        <w:t>in un percorso monitorato alla cui scadenza si proceda con l’applicazione della normativa vigente.</w:t>
      </w:r>
      <w:r w:rsidR="00E15DE6" w:rsidRPr="00E15DE6">
        <w:rPr>
          <w:rFonts w:ascii="Bookman Old Style" w:hAnsi="Bookman Old Style"/>
          <w:sz w:val="24"/>
          <w:szCs w:val="24"/>
        </w:rPr>
        <w:t xml:space="preserve"> L’entrata in vigore del nuovo accantonamento obbligatorio, </w:t>
      </w:r>
      <w:r w:rsidR="00E15DE6" w:rsidRPr="00E15DE6">
        <w:rPr>
          <w:rFonts w:ascii="Bookman Old Style" w:hAnsi="Bookman Old Style"/>
          <w:sz w:val="24"/>
          <w:szCs w:val="24"/>
        </w:rPr>
        <w:lastRenderedPageBreak/>
        <w:t xml:space="preserve">nelle attuali condizioni di emergenza e basato sulle risultanze della PCC non ancora perfettamente allineata con le dimensioni dei debiti e dei ritardi di pagamento degli enti locali, rischia di compromettere i margini di agibilità su bilanci già provati. L’ANCI ritiene che l’avvio della misura debba essere accompagnato da un intervento di supporto tecnico-operativo sulle situazioni di maggior debolezza strutturale presenti sul territorio. Andrebbe altresì </w:t>
      </w:r>
      <w:r w:rsidR="00E15DE6" w:rsidRPr="00E15DE6">
        <w:rPr>
          <w:rFonts w:ascii="Bookman Old Style" w:hAnsi="Bookman Old Style"/>
          <w:b/>
          <w:bCs/>
          <w:sz w:val="24"/>
          <w:szCs w:val="24"/>
        </w:rPr>
        <w:t xml:space="preserve">valutata la riapertura di una ulteriore finestra per le anticipazioni di liquidità gestite da </w:t>
      </w:r>
      <w:proofErr w:type="spellStart"/>
      <w:r w:rsidR="00E15DE6" w:rsidRPr="00E15DE6">
        <w:rPr>
          <w:rFonts w:ascii="Bookman Old Style" w:hAnsi="Bookman Old Style"/>
          <w:b/>
          <w:bCs/>
          <w:sz w:val="24"/>
          <w:szCs w:val="24"/>
        </w:rPr>
        <w:t>Cdp</w:t>
      </w:r>
      <w:proofErr w:type="spellEnd"/>
      <w:r w:rsidR="00E15DE6" w:rsidRPr="00E15DE6">
        <w:rPr>
          <w:rFonts w:ascii="Bookman Old Style" w:hAnsi="Bookman Old Style"/>
          <w:sz w:val="24"/>
          <w:szCs w:val="24"/>
        </w:rPr>
        <w:t>, relativamente poco sfruttate dagli enti nella prima fase della pandemia.</w:t>
      </w:r>
    </w:p>
    <w:p w14:paraId="070454DC" w14:textId="02692FA9" w:rsidR="005D7698" w:rsidRDefault="0085015B" w:rsidP="005D7267">
      <w:pPr>
        <w:pStyle w:val="Paragrafoelenco"/>
        <w:numPr>
          <w:ilvl w:val="1"/>
          <w:numId w:val="1"/>
        </w:numPr>
        <w:spacing w:line="360" w:lineRule="auto"/>
        <w:jc w:val="both"/>
        <w:rPr>
          <w:rFonts w:ascii="Bookman Old Style" w:hAnsi="Bookman Old Style"/>
          <w:sz w:val="24"/>
          <w:szCs w:val="24"/>
        </w:rPr>
      </w:pPr>
      <w:r>
        <w:rPr>
          <w:rFonts w:ascii="Bookman Old Style" w:hAnsi="Bookman Old Style"/>
          <w:sz w:val="24"/>
          <w:szCs w:val="24"/>
        </w:rPr>
        <w:t xml:space="preserve">concessione di flessibilità in deroga al codice dei contratti permettendo ai Comuni </w:t>
      </w:r>
      <w:r w:rsidRPr="0085015B">
        <w:rPr>
          <w:rFonts w:ascii="Bookman Old Style" w:hAnsi="Bookman Old Style"/>
          <w:b/>
          <w:bCs/>
          <w:sz w:val="24"/>
          <w:szCs w:val="24"/>
        </w:rPr>
        <w:t>l’allungamento delle scadenze degli affidamenti dei servizi di gestione e riscossione delle entrate</w:t>
      </w:r>
      <w:r>
        <w:rPr>
          <w:rFonts w:ascii="Bookman Old Style" w:hAnsi="Bookman Old Style"/>
          <w:sz w:val="24"/>
          <w:szCs w:val="24"/>
        </w:rPr>
        <w:t xml:space="preserve"> per almeno un anno, unitamente all’ampliamento del perimetro dei servizi offerti. </w:t>
      </w:r>
    </w:p>
    <w:p w14:paraId="18561A2C" w14:textId="573B55F4" w:rsidR="009A1CCA" w:rsidRDefault="00967928" w:rsidP="009A1CCA">
      <w:pPr>
        <w:spacing w:line="360" w:lineRule="auto"/>
        <w:jc w:val="both"/>
        <w:rPr>
          <w:rFonts w:ascii="Bookman Old Style" w:hAnsi="Bookman Old Style"/>
          <w:sz w:val="24"/>
          <w:szCs w:val="24"/>
        </w:rPr>
      </w:pPr>
      <w:r>
        <w:rPr>
          <w:rFonts w:ascii="Bookman Old Style" w:hAnsi="Bookman Old Style"/>
          <w:sz w:val="24"/>
          <w:szCs w:val="24"/>
        </w:rPr>
        <w:t>S</w:t>
      </w:r>
      <w:r w:rsidR="009A1CCA">
        <w:rPr>
          <w:rFonts w:ascii="Bookman Old Style" w:hAnsi="Bookman Old Style"/>
          <w:sz w:val="24"/>
          <w:szCs w:val="24"/>
        </w:rPr>
        <w:t>empre nella prospettiva del 2021</w:t>
      </w:r>
      <w:r>
        <w:rPr>
          <w:rFonts w:ascii="Bookman Old Style" w:hAnsi="Bookman Old Style"/>
          <w:sz w:val="24"/>
          <w:szCs w:val="24"/>
        </w:rPr>
        <w:t xml:space="preserve">, </w:t>
      </w:r>
      <w:r w:rsidR="009A1CCA">
        <w:rPr>
          <w:rFonts w:ascii="Bookman Old Style" w:hAnsi="Bookman Old Style"/>
          <w:sz w:val="24"/>
          <w:szCs w:val="24"/>
        </w:rPr>
        <w:t>vanno ricordate due questioni di ampio impatto sugli enti locali:</w:t>
      </w:r>
    </w:p>
    <w:p w14:paraId="633FF10E" w14:textId="5CEE268F" w:rsidR="009A1CCA" w:rsidRDefault="00967928" w:rsidP="00967928">
      <w:pPr>
        <w:pStyle w:val="Paragrafoelenco"/>
        <w:numPr>
          <w:ilvl w:val="0"/>
          <w:numId w:val="1"/>
        </w:numPr>
        <w:spacing w:line="360" w:lineRule="auto"/>
        <w:jc w:val="both"/>
        <w:rPr>
          <w:rFonts w:ascii="Bookman Old Style" w:hAnsi="Bookman Old Style"/>
          <w:sz w:val="24"/>
          <w:szCs w:val="24"/>
        </w:rPr>
      </w:pPr>
      <w:r>
        <w:rPr>
          <w:rFonts w:ascii="Bookman Old Style" w:hAnsi="Bookman Old Style"/>
          <w:b/>
          <w:bCs/>
          <w:sz w:val="24"/>
          <w:szCs w:val="24"/>
        </w:rPr>
        <w:t>l</w:t>
      </w:r>
      <w:r w:rsidR="009A1CCA" w:rsidRPr="00967928">
        <w:rPr>
          <w:rFonts w:ascii="Bookman Old Style" w:hAnsi="Bookman Old Style"/>
          <w:b/>
          <w:bCs/>
          <w:sz w:val="24"/>
          <w:szCs w:val="24"/>
        </w:rPr>
        <w:t xml:space="preserve">a ristrutturazione del debito locale. </w:t>
      </w:r>
      <w:r w:rsidR="009A1CCA" w:rsidRPr="00967928">
        <w:rPr>
          <w:rFonts w:ascii="Bookman Old Style" w:hAnsi="Bookman Old Style"/>
          <w:sz w:val="24"/>
          <w:szCs w:val="24"/>
        </w:rPr>
        <w:t>Va ripreso con sollecitudine il percorso di ristrutturazione dell’intero debito locale, che includa anche i prestiti obbligazionari rimasti attualmente esclusi, come delineato dall’art. 39 del decreto 162 2019 (Milleproroghe 2020).</w:t>
      </w:r>
      <w:r w:rsidRPr="00967928">
        <w:rPr>
          <w:rFonts w:ascii="Bookman Old Style" w:hAnsi="Bookman Old Style"/>
          <w:sz w:val="24"/>
          <w:szCs w:val="24"/>
        </w:rPr>
        <w:t xml:space="preserve"> </w:t>
      </w:r>
      <w:r w:rsidR="009A1CCA" w:rsidRPr="00967928">
        <w:rPr>
          <w:rFonts w:ascii="Bookman Old Style" w:hAnsi="Bookman Old Style"/>
          <w:sz w:val="24"/>
          <w:szCs w:val="24"/>
        </w:rPr>
        <w:t xml:space="preserve">Nelle more dell’avvio della ristrutturazione, è opportuno </w:t>
      </w:r>
      <w:r w:rsidR="009A1CCA" w:rsidRPr="00967928">
        <w:rPr>
          <w:rFonts w:ascii="Bookman Old Style" w:hAnsi="Bookman Old Style"/>
          <w:b/>
          <w:bCs/>
          <w:sz w:val="24"/>
          <w:szCs w:val="24"/>
        </w:rPr>
        <w:t>ripristinare il Fondo per gli indennizzi da</w:t>
      </w:r>
      <w:r w:rsidRPr="00967928">
        <w:rPr>
          <w:rFonts w:ascii="Bookman Old Style" w:hAnsi="Bookman Old Style"/>
          <w:b/>
          <w:bCs/>
          <w:sz w:val="24"/>
          <w:szCs w:val="24"/>
        </w:rPr>
        <w:t xml:space="preserve"> </w:t>
      </w:r>
      <w:r w:rsidR="009A1CCA" w:rsidRPr="00967928">
        <w:rPr>
          <w:rFonts w:ascii="Bookman Old Style" w:hAnsi="Bookman Old Style"/>
          <w:b/>
          <w:bCs/>
          <w:sz w:val="24"/>
          <w:szCs w:val="24"/>
        </w:rPr>
        <w:t>estinzione anticipata</w:t>
      </w:r>
      <w:r w:rsidRPr="00967928">
        <w:rPr>
          <w:rFonts w:ascii="Bookman Old Style" w:hAnsi="Bookman Old Style"/>
          <w:b/>
          <w:bCs/>
          <w:sz w:val="24"/>
          <w:szCs w:val="24"/>
        </w:rPr>
        <w:t xml:space="preserve">, </w:t>
      </w:r>
      <w:r w:rsidR="009A1CCA" w:rsidRPr="00967928">
        <w:rPr>
          <w:rFonts w:ascii="Bookman Old Style" w:hAnsi="Bookman Old Style"/>
          <w:sz w:val="24"/>
          <w:szCs w:val="24"/>
        </w:rPr>
        <w:t xml:space="preserve">che agevoli la sostituzione dei vecchi mutui con nuovi mutui </w:t>
      </w:r>
      <w:r w:rsidRPr="00967928">
        <w:rPr>
          <w:rFonts w:ascii="Bookman Old Style" w:hAnsi="Bookman Old Style"/>
          <w:sz w:val="24"/>
          <w:szCs w:val="24"/>
        </w:rPr>
        <w:t xml:space="preserve">a tassi </w:t>
      </w:r>
      <w:r w:rsidR="009A1CCA" w:rsidRPr="00967928">
        <w:rPr>
          <w:rFonts w:ascii="Bookman Old Style" w:hAnsi="Bookman Old Style"/>
          <w:sz w:val="24"/>
          <w:szCs w:val="24"/>
        </w:rPr>
        <w:t>coerenti con l</w:t>
      </w:r>
      <w:r>
        <w:rPr>
          <w:rFonts w:ascii="Bookman Old Style" w:hAnsi="Bookman Old Style"/>
          <w:sz w:val="24"/>
          <w:szCs w:val="24"/>
        </w:rPr>
        <w:t>’attuale andamento dei mercati finanziari;</w:t>
      </w:r>
    </w:p>
    <w:p w14:paraId="374A2F6A" w14:textId="0FEA2659" w:rsidR="00967928" w:rsidRDefault="00967928" w:rsidP="00967928">
      <w:pPr>
        <w:pStyle w:val="Paragrafoelenco"/>
        <w:numPr>
          <w:ilvl w:val="0"/>
          <w:numId w:val="1"/>
        </w:numPr>
        <w:spacing w:line="360" w:lineRule="auto"/>
        <w:jc w:val="both"/>
        <w:rPr>
          <w:rFonts w:ascii="Bookman Old Style" w:hAnsi="Bookman Old Style"/>
          <w:sz w:val="24"/>
          <w:szCs w:val="24"/>
        </w:rPr>
      </w:pPr>
      <w:r w:rsidRPr="00967928">
        <w:rPr>
          <w:rFonts w:ascii="Bookman Old Style" w:hAnsi="Bookman Old Style"/>
          <w:b/>
          <w:bCs/>
          <w:sz w:val="24"/>
          <w:szCs w:val="24"/>
        </w:rPr>
        <w:t xml:space="preserve">Sostegno agli enti in “crisi finanziaria” e riforma del Titolo VIII del TUEL. </w:t>
      </w:r>
      <w:r w:rsidRPr="00967928">
        <w:rPr>
          <w:rFonts w:ascii="Bookman Old Style" w:hAnsi="Bookman Old Style"/>
          <w:sz w:val="24"/>
          <w:szCs w:val="24"/>
        </w:rPr>
        <w:t>Nelle more di una più organica riforma del TUEL, in particolare degli istituti del dissesto e del predissesto, di recente nuovamente sollecitato da ANCI ai Ministri dell’interno e dell’economia, è necessario rafforzare con un</w:t>
      </w:r>
      <w:r w:rsidR="00404F58">
        <w:rPr>
          <w:rFonts w:ascii="Bookman Old Style" w:hAnsi="Bookman Old Style"/>
          <w:sz w:val="24"/>
          <w:szCs w:val="24"/>
        </w:rPr>
        <w:t xml:space="preserve"> </w:t>
      </w:r>
      <w:r w:rsidRPr="00967928">
        <w:rPr>
          <w:rFonts w:ascii="Bookman Old Style" w:hAnsi="Bookman Old Style"/>
          <w:sz w:val="24"/>
          <w:szCs w:val="24"/>
        </w:rPr>
        <w:t>ulteriore innesto di risorse (300 milioni di euro), l’intervento a supporto degli enti in crisi finanziaria opportunamente adottato con il recente dl 104, che, oltre a incrementare le risorse del Fondo di rotazione (200 mln. di euro), ha stanziato 200 mln. di euro</w:t>
      </w:r>
      <w:r>
        <w:rPr>
          <w:rFonts w:ascii="Bookman Old Style" w:hAnsi="Bookman Old Style"/>
          <w:sz w:val="24"/>
          <w:szCs w:val="24"/>
        </w:rPr>
        <w:t xml:space="preserve"> </w:t>
      </w:r>
      <w:r w:rsidRPr="00967928">
        <w:rPr>
          <w:rFonts w:ascii="Bookman Old Style" w:hAnsi="Bookman Old Style"/>
          <w:sz w:val="24"/>
          <w:szCs w:val="24"/>
        </w:rPr>
        <w:t xml:space="preserve">per </w:t>
      </w:r>
      <w:r>
        <w:rPr>
          <w:rFonts w:ascii="Bookman Old Style" w:hAnsi="Bookman Old Style"/>
          <w:sz w:val="24"/>
          <w:szCs w:val="24"/>
        </w:rPr>
        <w:t>sostenere i piani di riequilibrio degli enti locali in condizioni di strutturale debolezza finanziaria</w:t>
      </w:r>
      <w:r w:rsidR="00404F58">
        <w:rPr>
          <w:rFonts w:ascii="Bookman Old Style" w:hAnsi="Bookman Old Style"/>
          <w:sz w:val="24"/>
          <w:szCs w:val="24"/>
        </w:rPr>
        <w:t xml:space="preserve">, nel quadro richiamato dalla </w:t>
      </w:r>
      <w:r w:rsidRPr="00967928">
        <w:rPr>
          <w:rFonts w:ascii="Bookman Old Style" w:hAnsi="Bookman Old Style"/>
          <w:sz w:val="24"/>
          <w:szCs w:val="24"/>
        </w:rPr>
        <w:t>sentenza della Corte Costituzionale n. 115/2020.</w:t>
      </w:r>
      <w:r w:rsidR="00404F58">
        <w:rPr>
          <w:rFonts w:ascii="Bookman Old Style" w:hAnsi="Bookman Old Style"/>
          <w:sz w:val="24"/>
          <w:szCs w:val="24"/>
        </w:rPr>
        <w:t xml:space="preserve"> Il contributo deve ora essere integrato, poiché i criteri dell’art. 53 del dl 104/2020 si sono basati su condizioni ingiustificatamente restrittive, in quanto dipendenti da </w:t>
      </w:r>
      <w:r w:rsidR="00404F58">
        <w:rPr>
          <w:rFonts w:ascii="Bookman Old Style" w:hAnsi="Bookman Old Style"/>
          <w:sz w:val="24"/>
          <w:szCs w:val="24"/>
        </w:rPr>
        <w:lastRenderedPageBreak/>
        <w:t>elementi procedurali casuali o dalla valorizzazione di indici, come la capacità fiscale, non disponibili per i Comuni di alcune regioni, in particolare la Sicilia e la Sardegna.</w:t>
      </w:r>
    </w:p>
    <w:p w14:paraId="00C590ED" w14:textId="5EF23DC3" w:rsidR="00967928" w:rsidRPr="00967928" w:rsidRDefault="00404F58" w:rsidP="00B36173">
      <w:pPr>
        <w:spacing w:line="360" w:lineRule="auto"/>
        <w:ind w:left="360"/>
        <w:jc w:val="both"/>
        <w:rPr>
          <w:rFonts w:ascii="Bookman Old Style" w:hAnsi="Bookman Old Style"/>
          <w:sz w:val="24"/>
          <w:szCs w:val="24"/>
        </w:rPr>
      </w:pPr>
      <w:r>
        <w:rPr>
          <w:rFonts w:ascii="Bookman Old Style" w:hAnsi="Bookman Old Style"/>
          <w:sz w:val="24"/>
          <w:szCs w:val="24"/>
        </w:rPr>
        <w:t xml:space="preserve">Infine, ulteriori interventi sono auspicabili in materia di </w:t>
      </w:r>
      <w:r w:rsidRPr="00404F58">
        <w:rPr>
          <w:rFonts w:ascii="Bookman Old Style" w:hAnsi="Bookman Old Style"/>
          <w:b/>
          <w:bCs/>
          <w:sz w:val="24"/>
          <w:szCs w:val="24"/>
        </w:rPr>
        <w:t>s</w:t>
      </w:r>
      <w:r w:rsidR="00967928" w:rsidRPr="00404F58">
        <w:rPr>
          <w:rFonts w:ascii="Bookman Old Style" w:hAnsi="Bookman Old Style"/>
          <w:b/>
          <w:bCs/>
          <w:sz w:val="24"/>
          <w:szCs w:val="24"/>
        </w:rPr>
        <w:t>upporto agli investimenti</w:t>
      </w:r>
      <w:r w:rsidRPr="00404F58">
        <w:rPr>
          <w:rFonts w:ascii="Bookman Old Style" w:hAnsi="Bookman Old Style"/>
          <w:b/>
          <w:bCs/>
          <w:sz w:val="24"/>
          <w:szCs w:val="24"/>
        </w:rPr>
        <w:t xml:space="preserve"> degli enti locali</w:t>
      </w:r>
      <w:r>
        <w:rPr>
          <w:rFonts w:ascii="Bookman Old Style" w:hAnsi="Bookman Old Style"/>
          <w:b/>
          <w:bCs/>
          <w:sz w:val="24"/>
          <w:szCs w:val="24"/>
        </w:rPr>
        <w:t xml:space="preserve">. </w:t>
      </w:r>
      <w:r w:rsidRPr="00404F58">
        <w:rPr>
          <w:rFonts w:ascii="Bookman Old Style" w:hAnsi="Bookman Old Style"/>
          <w:sz w:val="24"/>
          <w:szCs w:val="24"/>
        </w:rPr>
        <w:t>La</w:t>
      </w:r>
      <w:r>
        <w:rPr>
          <w:rFonts w:ascii="Bookman Old Style" w:hAnsi="Bookman Old Style"/>
          <w:b/>
          <w:bCs/>
          <w:sz w:val="24"/>
          <w:szCs w:val="24"/>
        </w:rPr>
        <w:t xml:space="preserve"> </w:t>
      </w:r>
      <w:r w:rsidRPr="00404F58">
        <w:rPr>
          <w:rFonts w:ascii="Bookman Old Style" w:hAnsi="Bookman Old Style"/>
          <w:sz w:val="24"/>
          <w:szCs w:val="24"/>
        </w:rPr>
        <w:t>ripresa della contribuzione statale</w:t>
      </w:r>
      <w:r>
        <w:rPr>
          <w:rFonts w:ascii="Bookman Old Style" w:hAnsi="Bookman Old Style"/>
          <w:sz w:val="24"/>
          <w:szCs w:val="24"/>
        </w:rPr>
        <w:t xml:space="preserve"> e l’abbandono dei vincoli finanziari aggiuntivi (patto di stabilità e saldo di competenza) avevano determinato una significativa ripresa degli investimenti comunali che la crisi da pandemia ha solo rallentato. Il potenziamento dei contributi avvenuto ad opera del dl 104, cui seguiranno ulteriori risorse </w:t>
      </w:r>
      <w:r w:rsidR="00B36173">
        <w:rPr>
          <w:rFonts w:ascii="Bookman Old Style" w:hAnsi="Bookman Old Style"/>
          <w:sz w:val="24"/>
          <w:szCs w:val="24"/>
        </w:rPr>
        <w:t xml:space="preserve">con gli interventi da </w:t>
      </w:r>
      <w:r w:rsidR="00B36173" w:rsidRPr="00B36173">
        <w:rPr>
          <w:rFonts w:ascii="Bookman Old Style" w:hAnsi="Bookman Old Style"/>
          <w:i/>
          <w:iCs/>
          <w:sz w:val="24"/>
          <w:szCs w:val="24"/>
        </w:rPr>
        <w:t>recovery fund</w:t>
      </w:r>
      <w:r w:rsidR="00B36173">
        <w:rPr>
          <w:rFonts w:ascii="Bookman Old Style" w:hAnsi="Bookman Old Style"/>
          <w:i/>
          <w:iCs/>
          <w:sz w:val="24"/>
          <w:szCs w:val="24"/>
        </w:rPr>
        <w:t xml:space="preserve"> </w:t>
      </w:r>
      <w:r w:rsidR="00B36173" w:rsidRPr="00B36173">
        <w:rPr>
          <w:rFonts w:ascii="Bookman Old Style" w:hAnsi="Bookman Old Style"/>
          <w:sz w:val="24"/>
          <w:szCs w:val="24"/>
        </w:rPr>
        <w:t>e</w:t>
      </w:r>
      <w:r w:rsidR="00B36173">
        <w:rPr>
          <w:rFonts w:ascii="Bookman Old Style" w:hAnsi="Bookman Old Style"/>
          <w:i/>
          <w:iCs/>
          <w:sz w:val="24"/>
          <w:szCs w:val="24"/>
        </w:rPr>
        <w:t xml:space="preserve"> </w:t>
      </w:r>
      <w:r w:rsidR="00B36173">
        <w:rPr>
          <w:rFonts w:ascii="Bookman Old Style" w:hAnsi="Bookman Old Style"/>
          <w:sz w:val="24"/>
          <w:szCs w:val="24"/>
        </w:rPr>
        <w:t xml:space="preserve">gli altri finanziamenti europei, determina una situazione senza precedenti che deve essere accompagnata contrastando </w:t>
      </w:r>
      <w:r w:rsidR="00967928" w:rsidRPr="00967928">
        <w:rPr>
          <w:rFonts w:ascii="Bookman Old Style" w:hAnsi="Bookman Old Style"/>
          <w:sz w:val="24"/>
          <w:szCs w:val="24"/>
        </w:rPr>
        <w:t xml:space="preserve">l’impoverimento delle dotazioni organiche degli enti locali dopo quasi un decennio di </w:t>
      </w:r>
      <w:r w:rsidR="00B36173">
        <w:rPr>
          <w:rFonts w:ascii="Bookman Old Style" w:hAnsi="Bookman Old Style"/>
          <w:sz w:val="24"/>
          <w:szCs w:val="24"/>
        </w:rPr>
        <w:t>limitazioni</w:t>
      </w:r>
      <w:r w:rsidR="00967928" w:rsidRPr="00967928">
        <w:rPr>
          <w:rFonts w:ascii="Bookman Old Style" w:hAnsi="Bookman Old Style"/>
          <w:sz w:val="24"/>
          <w:szCs w:val="24"/>
        </w:rPr>
        <w:t>.</w:t>
      </w:r>
      <w:r w:rsidR="00B36173">
        <w:rPr>
          <w:rFonts w:ascii="Bookman Old Style" w:hAnsi="Bookman Old Style"/>
          <w:sz w:val="24"/>
          <w:szCs w:val="24"/>
        </w:rPr>
        <w:t xml:space="preserve"> Al fine di assicurare </w:t>
      </w:r>
      <w:r w:rsidR="00967928" w:rsidRPr="00967928">
        <w:rPr>
          <w:rFonts w:ascii="Bookman Old Style" w:hAnsi="Bookman Old Style"/>
          <w:sz w:val="24"/>
          <w:szCs w:val="24"/>
        </w:rPr>
        <w:t>un immediato recupero di capacità operativa</w:t>
      </w:r>
      <w:r w:rsidR="00B36173">
        <w:rPr>
          <w:rFonts w:ascii="Bookman Old Style" w:hAnsi="Bookman Old Style"/>
          <w:sz w:val="24"/>
          <w:szCs w:val="24"/>
        </w:rPr>
        <w:t>, l</w:t>
      </w:r>
      <w:r w:rsidR="00967928" w:rsidRPr="00967928">
        <w:rPr>
          <w:rFonts w:ascii="Bookman Old Style" w:hAnsi="Bookman Old Style"/>
          <w:sz w:val="24"/>
          <w:szCs w:val="24"/>
        </w:rPr>
        <w:t>’ANCI propone di</w:t>
      </w:r>
      <w:r w:rsidR="00B36173">
        <w:rPr>
          <w:rFonts w:ascii="Bookman Old Style" w:hAnsi="Bookman Old Style"/>
          <w:sz w:val="24"/>
          <w:szCs w:val="24"/>
        </w:rPr>
        <w:t xml:space="preserve"> </w:t>
      </w:r>
      <w:r w:rsidR="00967928" w:rsidRPr="00967928">
        <w:rPr>
          <w:rFonts w:ascii="Bookman Old Style" w:hAnsi="Bookman Old Style"/>
          <w:sz w:val="24"/>
          <w:szCs w:val="24"/>
        </w:rPr>
        <w:t xml:space="preserve">destinare </w:t>
      </w:r>
      <w:r w:rsidR="00B36173">
        <w:rPr>
          <w:rFonts w:ascii="Bookman Old Style" w:hAnsi="Bookman Old Style"/>
          <w:sz w:val="24"/>
          <w:szCs w:val="24"/>
        </w:rPr>
        <w:t xml:space="preserve">una piccola </w:t>
      </w:r>
      <w:r w:rsidR="00967928" w:rsidRPr="00967928">
        <w:rPr>
          <w:rFonts w:ascii="Bookman Old Style" w:hAnsi="Bookman Old Style"/>
          <w:sz w:val="24"/>
          <w:szCs w:val="24"/>
        </w:rPr>
        <w:t xml:space="preserve">quota dei contributi destinati agli investimenti, in deroga </w:t>
      </w:r>
      <w:r w:rsidR="00B36173">
        <w:rPr>
          <w:rFonts w:ascii="Bookman Old Style" w:hAnsi="Bookman Old Style"/>
          <w:sz w:val="24"/>
          <w:szCs w:val="24"/>
        </w:rPr>
        <w:t>a</w:t>
      </w:r>
      <w:r w:rsidR="00967928" w:rsidRPr="00967928">
        <w:rPr>
          <w:rFonts w:ascii="Bookman Old Style" w:hAnsi="Bookman Old Style"/>
          <w:sz w:val="24"/>
          <w:szCs w:val="24"/>
        </w:rPr>
        <w:t>gli attuali</w:t>
      </w:r>
      <w:r w:rsidR="00B36173">
        <w:rPr>
          <w:rFonts w:ascii="Bookman Old Style" w:hAnsi="Bookman Old Style"/>
          <w:sz w:val="24"/>
          <w:szCs w:val="24"/>
        </w:rPr>
        <w:t xml:space="preserve"> </w:t>
      </w:r>
      <w:r w:rsidR="00967928" w:rsidRPr="00B36173">
        <w:rPr>
          <w:rFonts w:ascii="Bookman Old Style" w:hAnsi="Bookman Old Style"/>
          <w:sz w:val="24"/>
          <w:szCs w:val="24"/>
        </w:rPr>
        <w:t xml:space="preserve">vincoli </w:t>
      </w:r>
      <w:proofErr w:type="spellStart"/>
      <w:r w:rsidR="00967928" w:rsidRPr="00B36173">
        <w:rPr>
          <w:rFonts w:ascii="Bookman Old Style" w:hAnsi="Bookman Old Style"/>
          <w:sz w:val="24"/>
          <w:szCs w:val="24"/>
        </w:rPr>
        <w:t>assunzionali</w:t>
      </w:r>
      <w:proofErr w:type="spellEnd"/>
      <w:r w:rsidR="00967928" w:rsidRPr="00B36173">
        <w:rPr>
          <w:rFonts w:ascii="Bookman Old Style" w:hAnsi="Bookman Old Style"/>
          <w:sz w:val="24"/>
          <w:szCs w:val="24"/>
        </w:rPr>
        <w:t xml:space="preserve">, </w:t>
      </w:r>
      <w:r w:rsidR="00B36173">
        <w:rPr>
          <w:rFonts w:ascii="Bookman Old Style" w:hAnsi="Bookman Old Style"/>
          <w:sz w:val="24"/>
          <w:szCs w:val="24"/>
        </w:rPr>
        <w:t xml:space="preserve">al reperimento </w:t>
      </w:r>
      <w:r w:rsidR="00967928" w:rsidRPr="00B36173">
        <w:rPr>
          <w:rFonts w:ascii="Bookman Old Style" w:hAnsi="Bookman Old Style"/>
          <w:sz w:val="24"/>
          <w:szCs w:val="24"/>
        </w:rPr>
        <w:t>di professionalità esterne</w:t>
      </w:r>
      <w:r w:rsidR="00B36173">
        <w:rPr>
          <w:rFonts w:ascii="Bookman Old Style" w:hAnsi="Bookman Old Style"/>
          <w:sz w:val="24"/>
          <w:szCs w:val="24"/>
        </w:rPr>
        <w:t xml:space="preserve"> </w:t>
      </w:r>
      <w:r w:rsidR="00967928" w:rsidRPr="00967928">
        <w:rPr>
          <w:rFonts w:ascii="Bookman Old Style" w:hAnsi="Bookman Old Style"/>
          <w:sz w:val="24"/>
          <w:szCs w:val="24"/>
        </w:rPr>
        <w:t>con funzione di supporto amministrativo nella gestione procedurale (affidamenti,</w:t>
      </w:r>
      <w:r w:rsidR="00B36173">
        <w:rPr>
          <w:rFonts w:ascii="Bookman Old Style" w:hAnsi="Bookman Old Style"/>
          <w:sz w:val="24"/>
          <w:szCs w:val="24"/>
        </w:rPr>
        <w:t xml:space="preserve"> </w:t>
      </w:r>
      <w:r w:rsidR="00967928" w:rsidRPr="00967928">
        <w:rPr>
          <w:rFonts w:ascii="Bookman Old Style" w:hAnsi="Bookman Old Style"/>
          <w:sz w:val="24"/>
          <w:szCs w:val="24"/>
        </w:rPr>
        <w:t>partecipazione a bandi, rendicontazione ecc</w:t>
      </w:r>
      <w:r w:rsidR="00B36173">
        <w:rPr>
          <w:rFonts w:ascii="Bookman Old Style" w:hAnsi="Bookman Old Style"/>
          <w:sz w:val="24"/>
          <w:szCs w:val="24"/>
        </w:rPr>
        <w:t>.</w:t>
      </w:r>
      <w:r w:rsidR="00967928" w:rsidRPr="00967928">
        <w:rPr>
          <w:rFonts w:ascii="Bookman Old Style" w:hAnsi="Bookman Old Style"/>
          <w:sz w:val="24"/>
          <w:szCs w:val="24"/>
        </w:rPr>
        <w:t>).</w:t>
      </w:r>
    </w:p>
    <w:p w14:paraId="23B2950A" w14:textId="52977FEE" w:rsidR="00967928" w:rsidRDefault="00B36173" w:rsidP="00967928">
      <w:pPr>
        <w:spacing w:line="360" w:lineRule="auto"/>
        <w:jc w:val="both"/>
        <w:rPr>
          <w:rFonts w:ascii="Bookman Old Style" w:hAnsi="Bookman Old Style"/>
          <w:sz w:val="24"/>
          <w:szCs w:val="24"/>
        </w:rPr>
      </w:pPr>
      <w:r>
        <w:rPr>
          <w:rFonts w:ascii="Bookman Old Style" w:hAnsi="Bookman Old Style"/>
          <w:sz w:val="24"/>
          <w:szCs w:val="24"/>
        </w:rPr>
        <w:t xml:space="preserve">Nel </w:t>
      </w:r>
      <w:r w:rsidR="00967928" w:rsidRPr="00967928">
        <w:rPr>
          <w:rFonts w:ascii="Bookman Old Style" w:hAnsi="Bookman Old Style"/>
          <w:sz w:val="24"/>
          <w:szCs w:val="24"/>
        </w:rPr>
        <w:t xml:space="preserve">caso delle </w:t>
      </w:r>
      <w:r w:rsidR="00967928" w:rsidRPr="00B36173">
        <w:rPr>
          <w:rFonts w:ascii="Bookman Old Style" w:hAnsi="Bookman Old Style"/>
          <w:b/>
          <w:bCs/>
          <w:sz w:val="24"/>
          <w:szCs w:val="24"/>
        </w:rPr>
        <w:t>Città metropolitane</w:t>
      </w:r>
      <w:r w:rsidRPr="00B36173">
        <w:rPr>
          <w:rFonts w:ascii="Bookman Old Style" w:hAnsi="Bookman Old Style"/>
          <w:sz w:val="24"/>
          <w:szCs w:val="24"/>
        </w:rPr>
        <w:t>, i</w:t>
      </w:r>
      <w:r w:rsidR="00967928" w:rsidRPr="00967928">
        <w:rPr>
          <w:rFonts w:ascii="Bookman Old Style" w:hAnsi="Bookman Old Style"/>
          <w:sz w:val="24"/>
          <w:szCs w:val="24"/>
        </w:rPr>
        <w:t>n attesa di un riassetto organico del comparto metropolitano (organi, funzioni fondamentali,</w:t>
      </w:r>
      <w:r w:rsidR="00C248DF">
        <w:rPr>
          <w:rFonts w:ascii="Bookman Old Style" w:hAnsi="Bookman Old Style"/>
          <w:sz w:val="24"/>
          <w:szCs w:val="24"/>
        </w:rPr>
        <w:t xml:space="preserve"> </w:t>
      </w:r>
      <w:r w:rsidR="00967928" w:rsidRPr="00967928">
        <w:rPr>
          <w:rFonts w:ascii="Bookman Old Style" w:hAnsi="Bookman Old Style"/>
          <w:sz w:val="24"/>
          <w:szCs w:val="24"/>
        </w:rPr>
        <w:t xml:space="preserve">entrate proprie) </w:t>
      </w:r>
      <w:r w:rsidR="00967928" w:rsidRPr="0048665A">
        <w:rPr>
          <w:rFonts w:ascii="Bookman Old Style" w:hAnsi="Bookman Old Style"/>
          <w:b/>
          <w:bCs/>
          <w:sz w:val="24"/>
          <w:szCs w:val="24"/>
          <w:u w:val="single"/>
        </w:rPr>
        <w:t>un immediato potenziamento delle dotazioni organiche</w:t>
      </w:r>
      <w:r w:rsidR="00967928" w:rsidRPr="00967928">
        <w:rPr>
          <w:rFonts w:ascii="Bookman Old Style" w:hAnsi="Bookman Old Style"/>
          <w:sz w:val="24"/>
          <w:szCs w:val="24"/>
        </w:rPr>
        <w:t xml:space="preserve"> può assicurare </w:t>
      </w:r>
      <w:r w:rsidR="00C248DF">
        <w:rPr>
          <w:rFonts w:ascii="Bookman Old Style" w:hAnsi="Bookman Old Style"/>
          <w:sz w:val="24"/>
          <w:szCs w:val="24"/>
        </w:rPr>
        <w:t xml:space="preserve">alle </w:t>
      </w:r>
      <w:r w:rsidR="00967928" w:rsidRPr="00967928">
        <w:rPr>
          <w:rFonts w:ascii="Bookman Old Style" w:hAnsi="Bookman Old Style"/>
          <w:sz w:val="24"/>
          <w:szCs w:val="24"/>
        </w:rPr>
        <w:t>Città metropolitane di poter svolgere quel ruolo di driver della ripresa degli</w:t>
      </w:r>
      <w:r w:rsidR="00C248DF">
        <w:rPr>
          <w:rFonts w:ascii="Bookman Old Style" w:hAnsi="Bookman Old Style"/>
          <w:sz w:val="24"/>
          <w:szCs w:val="24"/>
        </w:rPr>
        <w:t xml:space="preserve"> </w:t>
      </w:r>
      <w:r w:rsidR="00967928" w:rsidRPr="00967928">
        <w:rPr>
          <w:rFonts w:ascii="Bookman Old Style" w:hAnsi="Bookman Old Style"/>
          <w:sz w:val="24"/>
          <w:szCs w:val="24"/>
        </w:rPr>
        <w:t>investimenti pubblici per interventi a carattere strategico (TPL, periferie, scuole, viabilità, gestione</w:t>
      </w:r>
      <w:r w:rsidR="00C248DF">
        <w:rPr>
          <w:rFonts w:ascii="Bookman Old Style" w:hAnsi="Bookman Old Style"/>
          <w:sz w:val="24"/>
          <w:szCs w:val="24"/>
        </w:rPr>
        <w:t xml:space="preserve"> </w:t>
      </w:r>
      <w:r w:rsidR="00967928" w:rsidRPr="00967928">
        <w:rPr>
          <w:rFonts w:ascii="Bookman Old Style" w:hAnsi="Bookman Old Style"/>
          <w:sz w:val="24"/>
          <w:szCs w:val="24"/>
        </w:rPr>
        <w:t>dei rifiuti). Va infatti ricordato che le il comparto metropolitano costituisce uno dei principali poli</w:t>
      </w:r>
      <w:r w:rsidR="00C248DF">
        <w:rPr>
          <w:rFonts w:ascii="Bookman Old Style" w:hAnsi="Bookman Old Style"/>
          <w:sz w:val="24"/>
          <w:szCs w:val="24"/>
        </w:rPr>
        <w:t xml:space="preserve"> </w:t>
      </w:r>
      <w:r w:rsidR="00967928" w:rsidRPr="00967928">
        <w:rPr>
          <w:rFonts w:ascii="Bookman Old Style" w:hAnsi="Bookman Old Style"/>
          <w:sz w:val="24"/>
          <w:szCs w:val="24"/>
        </w:rPr>
        <w:t>di attrazione delle risorse assegnate all’Italia per il tramite del c.d. Recovery Fund.</w:t>
      </w:r>
    </w:p>
    <w:p w14:paraId="1913BB75" w14:textId="5A34B11F" w:rsidR="00B6540F" w:rsidRDefault="00B6540F" w:rsidP="00967928">
      <w:pPr>
        <w:spacing w:line="360" w:lineRule="auto"/>
        <w:jc w:val="both"/>
        <w:rPr>
          <w:rFonts w:ascii="Bookman Old Style" w:hAnsi="Bookman Old Style"/>
          <w:sz w:val="24"/>
          <w:szCs w:val="24"/>
        </w:rPr>
      </w:pPr>
    </w:p>
    <w:p w14:paraId="50BED028" w14:textId="77777777" w:rsidR="007B1258" w:rsidRDefault="007B1258">
      <w:pPr>
        <w:rPr>
          <w:rFonts w:asciiTheme="majorHAnsi" w:eastAsiaTheme="majorEastAsia" w:hAnsiTheme="majorHAnsi" w:cstheme="majorBidi"/>
          <w:b/>
          <w:bCs/>
          <w:color w:val="2F5496" w:themeColor="accent1" w:themeShade="BF"/>
          <w:sz w:val="28"/>
          <w:szCs w:val="28"/>
        </w:rPr>
      </w:pPr>
      <w:bookmarkStart w:id="3" w:name="_Toc55825892"/>
      <w:r>
        <w:rPr>
          <w:b/>
          <w:bCs/>
          <w:sz w:val="28"/>
          <w:szCs w:val="28"/>
        </w:rPr>
        <w:br w:type="page"/>
      </w:r>
    </w:p>
    <w:p w14:paraId="54265E09" w14:textId="5043B68B" w:rsidR="00B6540F" w:rsidRPr="00B20EDA" w:rsidRDefault="00B6540F" w:rsidP="00B20EDA">
      <w:pPr>
        <w:pStyle w:val="Titolo2"/>
        <w:spacing w:after="120"/>
        <w:rPr>
          <w:b/>
          <w:bCs/>
          <w:sz w:val="28"/>
          <w:szCs w:val="28"/>
        </w:rPr>
      </w:pPr>
      <w:r w:rsidRPr="00B20EDA">
        <w:rPr>
          <w:b/>
          <w:bCs/>
          <w:sz w:val="28"/>
          <w:szCs w:val="28"/>
        </w:rPr>
        <w:lastRenderedPageBreak/>
        <w:t xml:space="preserve">Proposte </w:t>
      </w:r>
      <w:r w:rsidR="00B20EDA" w:rsidRPr="00B20EDA">
        <w:rPr>
          <w:b/>
          <w:bCs/>
          <w:sz w:val="28"/>
          <w:szCs w:val="28"/>
        </w:rPr>
        <w:t xml:space="preserve">urgenti </w:t>
      </w:r>
      <w:r w:rsidRPr="00B20EDA">
        <w:rPr>
          <w:b/>
          <w:bCs/>
          <w:sz w:val="28"/>
          <w:szCs w:val="28"/>
        </w:rPr>
        <w:t>di emendamento in corso di predisposizione</w:t>
      </w:r>
      <w:bookmarkEnd w:id="3"/>
      <w:r w:rsidRPr="00B20EDA">
        <w:rPr>
          <w:b/>
          <w:bCs/>
          <w:sz w:val="28"/>
          <w:szCs w:val="28"/>
        </w:rPr>
        <w:t xml:space="preserve"> </w:t>
      </w:r>
    </w:p>
    <w:p w14:paraId="327BD851" w14:textId="2D98D4FB" w:rsidR="00B6540F" w:rsidRDefault="00B6540F" w:rsidP="00967928">
      <w:pPr>
        <w:spacing w:line="360" w:lineRule="auto"/>
        <w:jc w:val="both"/>
        <w:rPr>
          <w:rFonts w:ascii="Bookman Old Style" w:hAnsi="Bookman Old Style"/>
          <w:sz w:val="24"/>
          <w:szCs w:val="24"/>
        </w:rPr>
      </w:pPr>
      <w:r>
        <w:rPr>
          <w:rFonts w:ascii="Bookman Old Style" w:hAnsi="Bookman Old Style"/>
          <w:sz w:val="24"/>
          <w:szCs w:val="24"/>
        </w:rPr>
        <w:t xml:space="preserve">Sotto il profilo </w:t>
      </w:r>
      <w:r w:rsidR="00B20EDA">
        <w:rPr>
          <w:rFonts w:ascii="Bookman Old Style" w:hAnsi="Bookman Old Style"/>
          <w:sz w:val="24"/>
          <w:szCs w:val="24"/>
        </w:rPr>
        <w:t>dell’immediata urgenza</w:t>
      </w:r>
      <w:r>
        <w:rPr>
          <w:rFonts w:ascii="Bookman Old Style" w:hAnsi="Bookman Old Style"/>
          <w:sz w:val="24"/>
          <w:szCs w:val="24"/>
        </w:rPr>
        <w:t>, al fine di considerare l’obiettivo aggravamento delle condizioni di operatività degli enti locali, l’ANCI sta predisponendo le seguenti proposte di integrazione al decreto legge 137:</w:t>
      </w:r>
    </w:p>
    <w:p w14:paraId="5645CBA1" w14:textId="73D77BD6" w:rsidR="00B1500F" w:rsidRPr="00B6540F" w:rsidRDefault="00B1500F" w:rsidP="00B1500F">
      <w:pPr>
        <w:pStyle w:val="Paragrafoelenco"/>
        <w:numPr>
          <w:ilvl w:val="0"/>
          <w:numId w:val="2"/>
        </w:numPr>
        <w:spacing w:line="360" w:lineRule="auto"/>
        <w:jc w:val="both"/>
        <w:rPr>
          <w:rFonts w:ascii="Bookman Old Style" w:hAnsi="Bookman Old Style"/>
          <w:sz w:val="24"/>
          <w:szCs w:val="24"/>
        </w:rPr>
      </w:pPr>
      <w:r>
        <w:rPr>
          <w:rFonts w:ascii="Bookman Old Style" w:hAnsi="Bookman Old Style"/>
          <w:sz w:val="24"/>
          <w:szCs w:val="24"/>
        </w:rPr>
        <w:t xml:space="preserve">formale spendibilità anche nel 2021 dei fondi a favore degli enti locali, acquisiti o da acquisire in connessione all’emergenza epidemiologica in base alle previsioni dei decreti 34 e 104, così da semplificare gli obblighi di rendicontazione e l’attività programmatoria degli uffici locali; </w:t>
      </w:r>
    </w:p>
    <w:p w14:paraId="27C09E42" w14:textId="11559D42" w:rsidR="00B6540F" w:rsidRDefault="00531F9A" w:rsidP="00B6540F">
      <w:pPr>
        <w:pStyle w:val="Paragrafoelenco"/>
        <w:numPr>
          <w:ilvl w:val="0"/>
          <w:numId w:val="2"/>
        </w:numPr>
        <w:spacing w:line="360" w:lineRule="auto"/>
        <w:jc w:val="both"/>
        <w:rPr>
          <w:rFonts w:ascii="Bookman Old Style" w:hAnsi="Bookman Old Style"/>
          <w:sz w:val="24"/>
          <w:szCs w:val="24"/>
        </w:rPr>
      </w:pPr>
      <w:r>
        <w:rPr>
          <w:rFonts w:ascii="Bookman Old Style" w:hAnsi="Bookman Old Style"/>
          <w:sz w:val="24"/>
          <w:szCs w:val="24"/>
        </w:rPr>
        <w:t>a</w:t>
      </w:r>
      <w:r w:rsidR="00B6540F">
        <w:rPr>
          <w:rFonts w:ascii="Bookman Old Style" w:hAnsi="Bookman Old Style"/>
          <w:sz w:val="24"/>
          <w:szCs w:val="24"/>
        </w:rPr>
        <w:t xml:space="preserve">bolizione ed accorpamento al rendiconto 2020 degli adempimenti relativi alla verifica della salvaguardia degli equilibri di bilancio </w:t>
      </w:r>
      <w:r>
        <w:rPr>
          <w:rFonts w:ascii="Bookman Old Style" w:hAnsi="Bookman Old Style"/>
          <w:sz w:val="24"/>
          <w:szCs w:val="24"/>
        </w:rPr>
        <w:t xml:space="preserve">(art. 193 TUEL), </w:t>
      </w:r>
      <w:r w:rsidR="00B6540F">
        <w:rPr>
          <w:rFonts w:ascii="Bookman Old Style" w:hAnsi="Bookman Old Style"/>
          <w:sz w:val="24"/>
          <w:szCs w:val="24"/>
        </w:rPr>
        <w:t xml:space="preserve">in scadenza al 30 novembre 2021, in relazione all’eventuale </w:t>
      </w:r>
      <w:r w:rsidR="007B1258">
        <w:rPr>
          <w:rFonts w:ascii="Bookman Old Style" w:hAnsi="Bookman Old Style"/>
          <w:sz w:val="24"/>
          <w:szCs w:val="24"/>
        </w:rPr>
        <w:t xml:space="preserve">caduta di </w:t>
      </w:r>
      <w:r w:rsidR="00B6540F">
        <w:rPr>
          <w:rFonts w:ascii="Bookman Old Style" w:hAnsi="Bookman Old Style"/>
          <w:sz w:val="24"/>
          <w:szCs w:val="24"/>
        </w:rPr>
        <w:t>operatività degli uffici finanziari dovuta all’incremento dei contagi;</w:t>
      </w:r>
    </w:p>
    <w:p w14:paraId="1BE3C2B1" w14:textId="0DD6BBE4" w:rsidR="00B6540F" w:rsidRDefault="00531F9A" w:rsidP="00B6540F">
      <w:pPr>
        <w:pStyle w:val="Paragrafoelenco"/>
        <w:numPr>
          <w:ilvl w:val="0"/>
          <w:numId w:val="2"/>
        </w:numPr>
        <w:spacing w:line="360" w:lineRule="auto"/>
        <w:jc w:val="both"/>
        <w:rPr>
          <w:rFonts w:ascii="Bookman Old Style" w:hAnsi="Bookman Old Style"/>
          <w:sz w:val="24"/>
          <w:szCs w:val="24"/>
        </w:rPr>
      </w:pPr>
      <w:r>
        <w:rPr>
          <w:rFonts w:ascii="Bookman Old Style" w:hAnsi="Bookman Old Style"/>
          <w:sz w:val="24"/>
          <w:szCs w:val="24"/>
        </w:rPr>
        <w:t>proroga al 28 febbraio 2021 del termine per la deliberazione del bilancio consolidato</w:t>
      </w:r>
      <w:r w:rsidR="00B20EDA">
        <w:rPr>
          <w:rFonts w:ascii="Bookman Old Style" w:hAnsi="Bookman Old Style"/>
          <w:sz w:val="24"/>
          <w:szCs w:val="24"/>
        </w:rPr>
        <w:t xml:space="preserve"> (attualmente fissato al 30 novembre 2020)</w:t>
      </w:r>
      <w:r>
        <w:rPr>
          <w:rFonts w:ascii="Bookman Old Style" w:hAnsi="Bookman Old Style"/>
          <w:sz w:val="24"/>
          <w:szCs w:val="24"/>
        </w:rPr>
        <w:t>, obbligatorio per i Comuni con popolazione superiore a 5mila abitanti;</w:t>
      </w:r>
    </w:p>
    <w:p w14:paraId="28F6366B" w14:textId="253DA29A" w:rsidR="00531F9A" w:rsidRDefault="00B20EDA" w:rsidP="00531F9A">
      <w:pPr>
        <w:pStyle w:val="Paragrafoelenco"/>
        <w:numPr>
          <w:ilvl w:val="0"/>
          <w:numId w:val="2"/>
        </w:numPr>
        <w:spacing w:line="360" w:lineRule="auto"/>
        <w:jc w:val="both"/>
        <w:rPr>
          <w:rFonts w:ascii="Bookman Old Style" w:hAnsi="Bookman Old Style"/>
          <w:sz w:val="24"/>
          <w:szCs w:val="24"/>
        </w:rPr>
      </w:pPr>
      <w:r>
        <w:rPr>
          <w:rFonts w:ascii="Bookman Old Style" w:hAnsi="Bookman Old Style"/>
          <w:sz w:val="24"/>
          <w:szCs w:val="24"/>
        </w:rPr>
        <w:t xml:space="preserve">facoltà di presentazione del </w:t>
      </w:r>
      <w:r w:rsidR="00531F9A">
        <w:rPr>
          <w:rFonts w:ascii="Bookman Old Style" w:hAnsi="Bookman Old Style"/>
          <w:sz w:val="24"/>
          <w:szCs w:val="24"/>
        </w:rPr>
        <w:t>Documento unico di programmazione</w:t>
      </w:r>
      <w:r>
        <w:rPr>
          <w:rFonts w:ascii="Bookman Old Style" w:hAnsi="Bookman Old Style"/>
          <w:sz w:val="24"/>
          <w:szCs w:val="24"/>
        </w:rPr>
        <w:t xml:space="preserve"> (DUP) in occasione dell’esame del bilancio di previsione 2021-23, in deroga ai termini previsti dalla legge o dai regolamenti degli enti locali;</w:t>
      </w:r>
      <w:r w:rsidR="00531F9A">
        <w:rPr>
          <w:rFonts w:ascii="Bookman Old Style" w:hAnsi="Bookman Old Style"/>
          <w:sz w:val="24"/>
          <w:szCs w:val="24"/>
        </w:rPr>
        <w:t xml:space="preserve"> </w:t>
      </w:r>
    </w:p>
    <w:p w14:paraId="649AE7A5" w14:textId="6C9A0C72" w:rsidR="00531F9A" w:rsidRDefault="00B20EDA" w:rsidP="00531F9A">
      <w:pPr>
        <w:pStyle w:val="Paragrafoelenco"/>
        <w:numPr>
          <w:ilvl w:val="0"/>
          <w:numId w:val="2"/>
        </w:numPr>
        <w:spacing w:line="360" w:lineRule="auto"/>
        <w:jc w:val="both"/>
        <w:rPr>
          <w:rFonts w:ascii="Bookman Old Style" w:hAnsi="Bookman Old Style"/>
          <w:sz w:val="24"/>
          <w:szCs w:val="24"/>
        </w:rPr>
      </w:pPr>
      <w:r>
        <w:rPr>
          <w:rFonts w:ascii="Bookman Old Style" w:hAnsi="Bookman Old Style"/>
          <w:sz w:val="24"/>
          <w:szCs w:val="24"/>
        </w:rPr>
        <w:t>p</w:t>
      </w:r>
      <w:r w:rsidR="00531F9A">
        <w:rPr>
          <w:rFonts w:ascii="Bookman Old Style" w:hAnsi="Bookman Old Style"/>
          <w:sz w:val="24"/>
          <w:szCs w:val="24"/>
        </w:rPr>
        <w:t xml:space="preserve">roroga al 2022 dell’entrata in vigore del Canone unico di cui ai commi 816 e ss. </w:t>
      </w:r>
      <w:r>
        <w:rPr>
          <w:rFonts w:ascii="Bookman Old Style" w:hAnsi="Bookman Old Style"/>
          <w:sz w:val="24"/>
          <w:szCs w:val="24"/>
        </w:rPr>
        <w:t>d</w:t>
      </w:r>
      <w:r w:rsidR="00531F9A">
        <w:rPr>
          <w:rFonts w:ascii="Bookman Old Style" w:hAnsi="Bookman Old Style"/>
          <w:sz w:val="24"/>
          <w:szCs w:val="24"/>
        </w:rPr>
        <w:t>ella legge di bilancio per il 2020 (L. 160/2019</w:t>
      </w:r>
      <w:r>
        <w:rPr>
          <w:rFonts w:ascii="Bookman Old Style" w:hAnsi="Bookman Old Style"/>
          <w:sz w:val="24"/>
          <w:szCs w:val="24"/>
        </w:rPr>
        <w:t>);</w:t>
      </w:r>
    </w:p>
    <w:p w14:paraId="6CDC736A" w14:textId="2F971823" w:rsidR="007B1258" w:rsidRDefault="007B1258" w:rsidP="00531F9A">
      <w:pPr>
        <w:pStyle w:val="Paragrafoelenco"/>
        <w:numPr>
          <w:ilvl w:val="0"/>
          <w:numId w:val="2"/>
        </w:numPr>
        <w:spacing w:line="360" w:lineRule="auto"/>
        <w:jc w:val="both"/>
        <w:rPr>
          <w:rFonts w:ascii="Bookman Old Style" w:hAnsi="Bookman Old Style"/>
          <w:sz w:val="24"/>
          <w:szCs w:val="24"/>
        </w:rPr>
      </w:pPr>
      <w:r>
        <w:rPr>
          <w:rFonts w:ascii="Bookman Old Style" w:hAnsi="Bookman Old Style"/>
          <w:sz w:val="24"/>
          <w:szCs w:val="24"/>
        </w:rPr>
        <w:t>proroga al 2022 dell’obbligo di accantonamento al Fondo garanzia debiti commerciali (FGDC) nelle more della definizione di un programma di intervento sui ritardi di pagamento più significativi;</w:t>
      </w:r>
    </w:p>
    <w:p w14:paraId="7B23BBE9" w14:textId="755C90AA" w:rsidR="00B20EDA" w:rsidRDefault="00B20EDA" w:rsidP="00531F9A">
      <w:pPr>
        <w:pStyle w:val="Paragrafoelenco"/>
        <w:numPr>
          <w:ilvl w:val="0"/>
          <w:numId w:val="2"/>
        </w:numPr>
        <w:spacing w:line="360" w:lineRule="auto"/>
        <w:jc w:val="both"/>
        <w:rPr>
          <w:rFonts w:ascii="Bookman Old Style" w:hAnsi="Bookman Old Style"/>
          <w:sz w:val="24"/>
          <w:szCs w:val="24"/>
        </w:rPr>
      </w:pPr>
      <w:r>
        <w:rPr>
          <w:rFonts w:ascii="Bookman Old Style" w:hAnsi="Bookman Old Style"/>
          <w:sz w:val="24"/>
          <w:szCs w:val="24"/>
        </w:rPr>
        <w:t>proroga al 30 aprile 2021 del termine per l’approvazione dei piani economico-finanziari, dei regolamenti e delle tariffe relative al servizio rifiuti e ai connessi prelievi tributari o patrimoniali;</w:t>
      </w:r>
    </w:p>
    <w:p w14:paraId="3371968D" w14:textId="7F277D13" w:rsidR="00B6540F" w:rsidRPr="00B6540F" w:rsidRDefault="00531F9A" w:rsidP="00531F9A">
      <w:pPr>
        <w:pStyle w:val="Paragrafoelenco"/>
        <w:numPr>
          <w:ilvl w:val="0"/>
          <w:numId w:val="2"/>
        </w:numPr>
        <w:spacing w:line="360" w:lineRule="auto"/>
        <w:jc w:val="both"/>
        <w:rPr>
          <w:rFonts w:ascii="Bookman Old Style" w:hAnsi="Bookman Old Style"/>
          <w:sz w:val="24"/>
          <w:szCs w:val="24"/>
        </w:rPr>
      </w:pPr>
      <w:r>
        <w:rPr>
          <w:rFonts w:ascii="Bookman Old Style" w:hAnsi="Bookman Old Style"/>
          <w:sz w:val="24"/>
          <w:szCs w:val="24"/>
        </w:rPr>
        <w:t xml:space="preserve">abolizione delle sanzioni disciplinari connesse all’eventuale mancata operatività del sistema </w:t>
      </w:r>
      <w:proofErr w:type="spellStart"/>
      <w:r w:rsidRPr="00531F9A">
        <w:rPr>
          <w:rFonts w:ascii="Bookman Old Style" w:hAnsi="Bookman Old Style"/>
          <w:i/>
          <w:iCs/>
          <w:sz w:val="24"/>
          <w:szCs w:val="24"/>
        </w:rPr>
        <w:t>pagoPA</w:t>
      </w:r>
      <w:proofErr w:type="spellEnd"/>
      <w:r>
        <w:rPr>
          <w:rFonts w:ascii="Bookman Old Style" w:hAnsi="Bookman Old Style"/>
          <w:sz w:val="24"/>
          <w:szCs w:val="24"/>
        </w:rPr>
        <w:t xml:space="preserve"> successivamente al termine del 28 febbraio 2021 (art. </w:t>
      </w:r>
      <w:r w:rsidR="00B6540F" w:rsidRPr="00B6540F">
        <w:rPr>
          <w:rFonts w:ascii="Bookman Old Style" w:hAnsi="Bookman Old Style"/>
          <w:sz w:val="24"/>
          <w:szCs w:val="24"/>
        </w:rPr>
        <w:t>65, co</w:t>
      </w:r>
      <w:r>
        <w:rPr>
          <w:rFonts w:ascii="Bookman Old Style" w:hAnsi="Bookman Old Style"/>
          <w:sz w:val="24"/>
          <w:szCs w:val="24"/>
        </w:rPr>
        <w:t>.</w:t>
      </w:r>
      <w:r w:rsidR="00B6540F" w:rsidRPr="00B6540F">
        <w:rPr>
          <w:rFonts w:ascii="Bookman Old Style" w:hAnsi="Bookman Old Style"/>
          <w:sz w:val="24"/>
          <w:szCs w:val="24"/>
        </w:rPr>
        <w:t>2</w:t>
      </w:r>
      <w:r>
        <w:rPr>
          <w:rFonts w:ascii="Bookman Old Style" w:hAnsi="Bookman Old Style"/>
          <w:sz w:val="24"/>
          <w:szCs w:val="24"/>
        </w:rPr>
        <w:t xml:space="preserve">, d.lgs. </w:t>
      </w:r>
      <w:r w:rsidR="00B6540F" w:rsidRPr="00B6540F">
        <w:rPr>
          <w:rFonts w:ascii="Bookman Old Style" w:hAnsi="Bookman Old Style"/>
          <w:sz w:val="24"/>
          <w:szCs w:val="24"/>
        </w:rPr>
        <w:t>n. 217</w:t>
      </w:r>
      <w:r>
        <w:rPr>
          <w:rFonts w:ascii="Bookman Old Style" w:hAnsi="Bookman Old Style"/>
          <w:sz w:val="24"/>
          <w:szCs w:val="24"/>
        </w:rPr>
        <w:t>/2017);</w:t>
      </w:r>
    </w:p>
    <w:p w14:paraId="27F00D85" w14:textId="44B84774" w:rsidR="00B6540F" w:rsidRPr="00B6540F" w:rsidRDefault="00531F9A" w:rsidP="00B6540F">
      <w:pPr>
        <w:pStyle w:val="Paragrafoelenco"/>
        <w:numPr>
          <w:ilvl w:val="0"/>
          <w:numId w:val="2"/>
        </w:numPr>
        <w:spacing w:line="360" w:lineRule="auto"/>
        <w:jc w:val="both"/>
        <w:rPr>
          <w:rFonts w:ascii="Bookman Old Style" w:hAnsi="Bookman Old Style"/>
          <w:sz w:val="24"/>
          <w:szCs w:val="24"/>
        </w:rPr>
      </w:pPr>
      <w:r>
        <w:rPr>
          <w:rFonts w:ascii="Bookman Old Style" w:hAnsi="Bookman Old Style"/>
          <w:sz w:val="24"/>
          <w:szCs w:val="24"/>
        </w:rPr>
        <w:t>facoltà di proroga per un massimo di 12 mesi dei contratti di servizio, degli affidamenti in concessione e degli incarichi di revisione contabile, nel caso di scadenze comprese tra il 1° ottobre 2020 e il 31 marzo 2021, ove non altrimenti stabilito da norme di governo dell’emergenza in atto</w:t>
      </w:r>
      <w:r w:rsidR="007B1258">
        <w:rPr>
          <w:rFonts w:ascii="Bookman Old Style" w:hAnsi="Bookman Old Style"/>
          <w:sz w:val="24"/>
          <w:szCs w:val="24"/>
        </w:rPr>
        <w:t>.</w:t>
      </w:r>
      <w:r>
        <w:rPr>
          <w:rFonts w:ascii="Bookman Old Style" w:hAnsi="Bookman Old Style"/>
          <w:sz w:val="24"/>
          <w:szCs w:val="24"/>
        </w:rPr>
        <w:t xml:space="preserve"> </w:t>
      </w:r>
    </w:p>
    <w:sectPr w:rsidR="00B6540F" w:rsidRPr="00B6540F">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E53CF04" w14:textId="77777777" w:rsidR="00551AD5" w:rsidRDefault="00551AD5" w:rsidP="003630A8">
      <w:pPr>
        <w:spacing w:after="0" w:line="240" w:lineRule="auto"/>
      </w:pPr>
      <w:r>
        <w:separator/>
      </w:r>
    </w:p>
  </w:endnote>
  <w:endnote w:type="continuationSeparator" w:id="0">
    <w:p w14:paraId="1B6339D1" w14:textId="77777777" w:rsidR="00551AD5" w:rsidRDefault="00551AD5" w:rsidP="003630A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5613B9C" w14:textId="77777777" w:rsidR="00551AD5" w:rsidRDefault="00551AD5" w:rsidP="003630A8">
      <w:pPr>
        <w:spacing w:after="0" w:line="240" w:lineRule="auto"/>
      </w:pPr>
      <w:r>
        <w:separator/>
      </w:r>
    </w:p>
  </w:footnote>
  <w:footnote w:type="continuationSeparator" w:id="0">
    <w:p w14:paraId="6CC94F69" w14:textId="77777777" w:rsidR="00551AD5" w:rsidRDefault="00551AD5" w:rsidP="003630A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4441761"/>
    <w:multiLevelType w:val="hybridMultilevel"/>
    <w:tmpl w:val="0140415A"/>
    <w:lvl w:ilvl="0" w:tplc="8F4E1910">
      <w:start w:val="660"/>
      <w:numFmt w:val="bullet"/>
      <w:lvlText w:val="-"/>
      <w:lvlJc w:val="left"/>
      <w:pPr>
        <w:ind w:left="720" w:hanging="360"/>
      </w:pPr>
      <w:rPr>
        <w:rFonts w:ascii="Bookman Old Style" w:eastAsiaTheme="minorHAnsi" w:hAnsi="Bookman Old Style" w:cstheme="minorBidi" w:hint="default"/>
      </w:rPr>
    </w:lvl>
    <w:lvl w:ilvl="1" w:tplc="04100003">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752C6053"/>
    <w:multiLevelType w:val="hybridMultilevel"/>
    <w:tmpl w:val="B706D49E"/>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31"/>
  <w:removePersonalInformation/>
  <w:removeDateAndTime/>
  <w:proofState w:spelling="clean" w:grammar="clean"/>
  <w:defaultTabStop w:val="708"/>
  <w:hyphenationZone w:val="283"/>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104F"/>
    <w:rsid w:val="00136F76"/>
    <w:rsid w:val="0016754C"/>
    <w:rsid w:val="0019407A"/>
    <w:rsid w:val="001D273B"/>
    <w:rsid w:val="00203B4F"/>
    <w:rsid w:val="00231A02"/>
    <w:rsid w:val="002D0293"/>
    <w:rsid w:val="002E7FBE"/>
    <w:rsid w:val="002F686E"/>
    <w:rsid w:val="003630A8"/>
    <w:rsid w:val="003D7BA3"/>
    <w:rsid w:val="00404F58"/>
    <w:rsid w:val="0048665A"/>
    <w:rsid w:val="00505D77"/>
    <w:rsid w:val="00531F9A"/>
    <w:rsid w:val="00550DC7"/>
    <w:rsid w:val="00551AD5"/>
    <w:rsid w:val="005D7267"/>
    <w:rsid w:val="005D7698"/>
    <w:rsid w:val="005E412C"/>
    <w:rsid w:val="00715268"/>
    <w:rsid w:val="0073096D"/>
    <w:rsid w:val="007432FD"/>
    <w:rsid w:val="007948DE"/>
    <w:rsid w:val="007B1258"/>
    <w:rsid w:val="007B1391"/>
    <w:rsid w:val="007F5736"/>
    <w:rsid w:val="0085015B"/>
    <w:rsid w:val="0096102D"/>
    <w:rsid w:val="00967928"/>
    <w:rsid w:val="009A1CCA"/>
    <w:rsid w:val="00B1500F"/>
    <w:rsid w:val="00B20EDA"/>
    <w:rsid w:val="00B36173"/>
    <w:rsid w:val="00B6540F"/>
    <w:rsid w:val="00B66B1C"/>
    <w:rsid w:val="00BB47A8"/>
    <w:rsid w:val="00C248DF"/>
    <w:rsid w:val="00C37CBD"/>
    <w:rsid w:val="00CD4A4A"/>
    <w:rsid w:val="00DB5819"/>
    <w:rsid w:val="00E12C98"/>
    <w:rsid w:val="00E15408"/>
    <w:rsid w:val="00E15DE6"/>
    <w:rsid w:val="00F6104F"/>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9C7E812"/>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uiPriority w:val="9"/>
    <w:qFormat/>
    <w:rsid w:val="00B20EDA"/>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Titolo2">
    <w:name w:val="heading 2"/>
    <w:basedOn w:val="Normale"/>
    <w:next w:val="Normale"/>
    <w:link w:val="Titolo2Carattere"/>
    <w:uiPriority w:val="9"/>
    <w:unhideWhenUsed/>
    <w:qFormat/>
    <w:rsid w:val="00B20EDA"/>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B66B1C"/>
    <w:pPr>
      <w:ind w:left="720"/>
      <w:contextualSpacing/>
    </w:pPr>
  </w:style>
  <w:style w:type="paragraph" w:styleId="Intestazione">
    <w:name w:val="header"/>
    <w:basedOn w:val="Normale"/>
    <w:link w:val="IntestazioneCarattere"/>
    <w:uiPriority w:val="99"/>
    <w:unhideWhenUsed/>
    <w:rsid w:val="003630A8"/>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3630A8"/>
  </w:style>
  <w:style w:type="paragraph" w:styleId="Pidipagina">
    <w:name w:val="footer"/>
    <w:basedOn w:val="Normale"/>
    <w:link w:val="PidipaginaCarattere"/>
    <w:uiPriority w:val="99"/>
    <w:unhideWhenUsed/>
    <w:rsid w:val="003630A8"/>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3630A8"/>
  </w:style>
  <w:style w:type="character" w:customStyle="1" w:styleId="Titolo2Carattere">
    <w:name w:val="Titolo 2 Carattere"/>
    <w:basedOn w:val="Carpredefinitoparagrafo"/>
    <w:link w:val="Titolo2"/>
    <w:uiPriority w:val="9"/>
    <w:rsid w:val="00B20EDA"/>
    <w:rPr>
      <w:rFonts w:asciiTheme="majorHAnsi" w:eastAsiaTheme="majorEastAsia" w:hAnsiTheme="majorHAnsi" w:cstheme="majorBidi"/>
      <w:color w:val="2F5496" w:themeColor="accent1" w:themeShade="BF"/>
      <w:sz w:val="26"/>
      <w:szCs w:val="26"/>
    </w:rPr>
  </w:style>
  <w:style w:type="character" w:customStyle="1" w:styleId="Titolo1Carattere">
    <w:name w:val="Titolo 1 Carattere"/>
    <w:basedOn w:val="Carpredefinitoparagrafo"/>
    <w:link w:val="Titolo1"/>
    <w:uiPriority w:val="9"/>
    <w:rsid w:val="00B20EDA"/>
    <w:rPr>
      <w:rFonts w:asciiTheme="majorHAnsi" w:eastAsiaTheme="majorEastAsia" w:hAnsiTheme="majorHAnsi" w:cstheme="majorBidi"/>
      <w:color w:val="2F5496" w:themeColor="accent1" w:themeShade="BF"/>
      <w:sz w:val="32"/>
      <w:szCs w:val="32"/>
    </w:rPr>
  </w:style>
  <w:style w:type="paragraph" w:styleId="Titolosommario">
    <w:name w:val="TOC Heading"/>
    <w:basedOn w:val="Titolo1"/>
    <w:next w:val="Normale"/>
    <w:uiPriority w:val="39"/>
    <w:unhideWhenUsed/>
    <w:qFormat/>
    <w:rsid w:val="00B20EDA"/>
    <w:pPr>
      <w:outlineLvl w:val="9"/>
    </w:pPr>
    <w:rPr>
      <w:lang w:eastAsia="it-IT"/>
    </w:rPr>
  </w:style>
  <w:style w:type="paragraph" w:styleId="Sommario2">
    <w:name w:val="toc 2"/>
    <w:basedOn w:val="Normale"/>
    <w:next w:val="Normale"/>
    <w:autoRedefine/>
    <w:uiPriority w:val="39"/>
    <w:unhideWhenUsed/>
    <w:rsid w:val="00B20EDA"/>
    <w:pPr>
      <w:spacing w:after="100"/>
      <w:ind w:left="220"/>
    </w:pPr>
  </w:style>
  <w:style w:type="character" w:styleId="Collegamentoipertestuale">
    <w:name w:val="Hyperlink"/>
    <w:basedOn w:val="Carpredefinitoparagrafo"/>
    <w:uiPriority w:val="99"/>
    <w:unhideWhenUsed/>
    <w:rsid w:val="00B20EDA"/>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 /><Relationship Id="rId3" Type="http://schemas.openxmlformats.org/officeDocument/2006/relationships/styles" Target="styles.xml" /><Relationship Id="rId7" Type="http://schemas.openxmlformats.org/officeDocument/2006/relationships/endnotes" Target="endnotes.xml" /><Relationship Id="rId2" Type="http://schemas.openxmlformats.org/officeDocument/2006/relationships/numbering" Target="numbering.xml" /><Relationship Id="rId1" Type="http://schemas.openxmlformats.org/officeDocument/2006/relationships/customXml" Target="../customXml/item1.xml" /><Relationship Id="rId6" Type="http://schemas.openxmlformats.org/officeDocument/2006/relationships/footnotes" Target="footnotes.xml" /><Relationship Id="rId11" Type="http://schemas.openxmlformats.org/officeDocument/2006/relationships/theme" Target="theme/theme1.xml" /><Relationship Id="rId5" Type="http://schemas.openxmlformats.org/officeDocument/2006/relationships/webSettings" Target="webSettings.xml" /><Relationship Id="rId10" Type="http://schemas.openxmlformats.org/officeDocument/2006/relationships/fontTable" Target="fontTable.xml" /><Relationship Id="rId4" Type="http://schemas.openxmlformats.org/officeDocument/2006/relationships/settings" Target="settings.xml" /><Relationship Id="rId9" Type="http://schemas.openxmlformats.org/officeDocument/2006/relationships/image" Target="media/image2.emf" /></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9C2492C-3335-449A-B611-1C7CF9AA17A6}">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2106</Words>
  <Characters>12009</Characters>
  <Application>Microsoft Office Word</Application>
  <DocSecurity>0</DocSecurity>
  <Lines>100</Lines>
  <Paragraphs>28</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14087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2020-11-09T16:06:00Z</dcterms:created>
  <dcterms:modified xsi:type="dcterms:W3CDTF">2020-11-09T16:06:00Z</dcterms:modified>
</cp:coreProperties>
</file>